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799</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2024. gada 10. decembrī (prot. Nr. 52 42.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2014. gada 16. decembra noteikumos Nr. 785 "Kārtība, kādā iedzīvotāju ienākuma nodokli, ar nodokli saistīto nokavējuma naudu un soda naudu ieskaita budžetā"</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w:t>
      </w:r>
      <w:r w:rsidR="00000000" w:rsidRPr="00000000" w:rsidDel="00000000">
        <w:rPr>
          <w:rStyle w:val="paragraph"/>
          <w:i w:val="1"/>
          <w:rtl w:val="0"/>
        </w:rPr>
        <w:t xml:space="preserve">Par iedzīvotāju ienākuma nodokli</w:t>
      </w:r>
      <w:r w:rsidR="00000000" w:rsidRPr="00000000" w:rsidDel="00000000">
        <w:rPr>
          <w:rStyle w:val="paragraph"/>
          <w:i w:val="1"/>
          <w:rtl w:val="0"/>
        </w:rPr>
        <w:t xml:space="preserve">"</w:t>
      </w:r>
      <w:r>
        <w:br/>
      </w:r>
      <w:r w:rsidR="00000000" w:rsidRPr="00000000" w:rsidDel="00000000">
        <w:rPr>
          <w:rStyle w:val="paragraph"/>
          <w:i w:val="1"/>
          <w:rtl w:val="0"/>
        </w:rPr>
        <w:t xml:space="preserve">25.</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ceturto daļu un 26.panta otro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Izdarīt Ministru kabineta 2014. gada 16. decembra noteikumos Nr. 785 "Kārtība, kādā iedzīvotāju ienākuma nodokli, ar nodokli saistīto nokavējuma naudu un soda naudu ieskaita budžetā" (Latvijas Vēstnesis, 2014, 255. nr.; 2015, 252. nr.; 2016, 250. nr.; 2017, 249. nr.; 2018, 245. nr.; 2019, 250. nr.; 2020, 242. nr.; 2021, 122., 237. nr.; 2022, 243. nr.; 2023, 225.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2.</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2</w:t>
      </w:r>
      <w:r w:rsidR="00000000" w:rsidRPr="00000000" w:rsidDel="00000000">
        <w:rPr>
          <w:rtl w:val="0"/>
        </w:rPr>
        <w:t xml:space="preserve"> Valsts ieņēmumu dienests katru darba dienu uz nodokli (tai skaitā samazināto patentmaksu un sezonas laukstrādnieku nodokli) novirzītos ieņēmumus attiecina uz nodokļu ieņēmumu veidiem, pamatojoties uz likuma "Par iedzīvotāju ienākuma nodokli" 26. panta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 Valsts ieņēmumu dienests katru darba dienu uz nodokli novirzītos ieņēmumus atbilstoši gadskārtējā valsts budžeta likumā noteiktajam procentuālajam sadalījumam attiecina uz valsts budžetu un pašvaldību budžetiem. Uz pašvaldību budžeta ieņēmumiem attiecinātos līdzekļus ieskaita sadales kontā atbilstoši gadskārtējā valsts budžeta likumā noteiktajai kārtībai.";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svītrot 5.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izteikt 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 Valsts kase attiecīgajā kalendāra gadā no sadales kontā ieskaitītās nodokļa summas katru nedēļu pārskaita uz katras pašvaldības naudas līdzekļu kontu nodokļa summu tādā apmērā, kas atbilst attiecīgajai pašvaldībai šo noteikumu pielikumā noteiktajam atbilstošajam gadam apstiprinātajam nodokļa ieņēmumu īpatsvara koeficientam (turpmāk – īpatsvara koeficients).";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papildināt ar 6.</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Valsts kases norādītajā kontā saņemtos līdzekļus, kas attiecināto ieņēmumu kontā attiecināti uz pašvaldību budžeta ieņēmumiem virs garantētās nodokļa prognozes, Valsts kase atbilstoši īpatsvara koeficientiem pārskaita uz pašvaldību aizņēmumu automātisko saistību ieturēšanas kontiem pašvaldību aizņēmumu saistību dzēšanai.";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izteikt 11.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 Sadales kontā ieskaitīto nodokļa ieņēmumu kopējā apmēra teritoriālo sadalījumu 2025. gadam (pielikums) nosaka, pamatojoties uz pašvaldību īpatsvara koeficientiem, kas aprēķināti atbilstoši nodokļa faktiskajai izpildei 2023. gadā.";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izteikt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 stājas spēkā 2025. gada 1. janvārī.</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Finanšu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Ašeradens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24-TA-2431</w:t>
    </w:r>
    <w:r>
      <w:br/>
    </w:r>
    <w:r w:rsidR="00000000" w:rsidRPr="00000000" w:rsidDel="00000000">
      <w:rPr>
        <w:rtl w:val="0"/>
      </w:rPr>
      <w:t xml:space="preserve">Izdrukāts 29.07.2026. 21.24 - 1.0.VK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24-TA-2431</w:t>
    </w:r>
    <w:r>
      <w:br/>
    </w:r>
    <w:r w:rsidR="00000000" w:rsidRPr="00000000" w:rsidDel="00000000">
      <w:rPr>
        <w:rtl w:val="0"/>
      </w:rPr>
      <w:t xml:space="preserve">Izdrukāts 29.07.2026. 21.24 - 1.0.VK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noteikumu_(grozījumu)_projekts_24-TA-2431.docx</dc:title>
</cp:coreProperties>
</file>

<file path=docProps/custom.xml><?xml version="1.0" encoding="utf-8"?>
<Properties xmlns="http://schemas.openxmlformats.org/officeDocument/2006/custom-properties" xmlns:vt="http://schemas.openxmlformats.org/officeDocument/2006/docPropsVTypes"/>
</file>