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B9412" w14:textId="77777777" w:rsidR="00D71248" w:rsidRPr="004A1D98" w:rsidRDefault="00D71248" w:rsidP="00426910">
      <w:pPr>
        <w:suppressAutoHyphens/>
        <w:autoSpaceDN w:val="0"/>
        <w:spacing w:after="0" w:line="240" w:lineRule="auto"/>
        <w:jc w:val="both"/>
        <w:textAlignment w:val="baseline"/>
        <w:rPr>
          <w:rFonts w:ascii="Times New Roman" w:eastAsia="Times New Roman" w:hAnsi="Times New Roman" w:cs="Times New Roman"/>
          <w:sz w:val="28"/>
          <w:szCs w:val="28"/>
          <w:lang w:val="lv-LV" w:eastAsia="ja-JP"/>
        </w:rPr>
      </w:pPr>
    </w:p>
    <w:p w14:paraId="79A0888B" w14:textId="77777777" w:rsidR="004A1D98" w:rsidRPr="004A1D98" w:rsidRDefault="004A1D98" w:rsidP="00426910">
      <w:pPr>
        <w:spacing w:after="120" w:line="264" w:lineRule="auto"/>
        <w:jc w:val="both"/>
        <w:rPr>
          <w:rFonts w:ascii="Times New Roman" w:eastAsia="SimSun" w:hAnsi="Times New Roman" w:cs="Times New Roman"/>
          <w:sz w:val="28"/>
          <w:szCs w:val="28"/>
          <w:lang w:val="lv-LV"/>
        </w:rPr>
      </w:pPr>
    </w:p>
    <w:p w14:paraId="0635B448" w14:textId="24869FCE" w:rsidR="00641034" w:rsidRPr="00967686" w:rsidRDefault="00FA6628" w:rsidP="00967686">
      <w:pPr>
        <w:pStyle w:val="ListParagraph"/>
        <w:numPr>
          <w:ilvl w:val="0"/>
          <w:numId w:val="106"/>
        </w:numPr>
        <w:spacing w:line="293" w:lineRule="atLeast"/>
        <w:jc w:val="right"/>
        <w:rPr>
          <w:rFonts w:ascii="Times New Roman" w:hAnsi="Times New Roman"/>
          <w:kern w:val="16"/>
          <w:sz w:val="28"/>
          <w:szCs w:val="28"/>
          <w:lang w:val="lv-LV" w:eastAsia="ar-SA"/>
        </w:rPr>
      </w:pPr>
      <w:r w:rsidRPr="00967686">
        <w:rPr>
          <w:rFonts w:ascii="Times New Roman" w:hAnsi="Times New Roman"/>
          <w:kern w:val="16"/>
          <w:sz w:val="28"/>
          <w:szCs w:val="28"/>
          <w:lang w:val="lv-LV" w:eastAsia="ar-SA"/>
        </w:rPr>
        <w:t>Pielikums</w:t>
      </w:r>
    </w:p>
    <w:p w14:paraId="40DEC4C0" w14:textId="77777777" w:rsidR="00FA6628" w:rsidRPr="004A1D98" w:rsidRDefault="00FA6628" w:rsidP="00426910">
      <w:pPr>
        <w:pStyle w:val="ListParagraph"/>
        <w:spacing w:line="293" w:lineRule="atLeast"/>
        <w:ind w:left="0"/>
        <w:jc w:val="right"/>
        <w:rPr>
          <w:rFonts w:ascii="Times New Roman" w:hAnsi="Times New Roman"/>
          <w:kern w:val="16"/>
          <w:sz w:val="28"/>
          <w:szCs w:val="28"/>
          <w:lang w:val="lv-LV" w:eastAsia="ar-SA"/>
        </w:rPr>
      </w:pPr>
      <w:r w:rsidRPr="004A1D98">
        <w:rPr>
          <w:rFonts w:ascii="Times New Roman" w:hAnsi="Times New Roman"/>
          <w:kern w:val="16"/>
          <w:sz w:val="28"/>
          <w:szCs w:val="28"/>
          <w:lang w:val="lv-LV" w:eastAsia="ar-SA"/>
        </w:rPr>
        <w:t>Ministru kabineta</w:t>
      </w:r>
    </w:p>
    <w:p w14:paraId="3D2EC607" w14:textId="77777777" w:rsidR="00FA6628" w:rsidRPr="004A1D98" w:rsidRDefault="00FA6628" w:rsidP="00426910">
      <w:pPr>
        <w:pStyle w:val="ListParagraph"/>
        <w:spacing w:line="293" w:lineRule="atLeast"/>
        <w:ind w:left="0"/>
        <w:jc w:val="right"/>
        <w:rPr>
          <w:rFonts w:ascii="Times New Roman" w:hAnsi="Times New Roman"/>
          <w:kern w:val="16"/>
          <w:sz w:val="28"/>
          <w:szCs w:val="28"/>
          <w:lang w:val="lv-LV" w:eastAsia="ar-SA"/>
        </w:rPr>
      </w:pPr>
      <w:r w:rsidRPr="004A1D98">
        <w:rPr>
          <w:rFonts w:ascii="Times New Roman" w:hAnsi="Times New Roman"/>
          <w:kern w:val="16"/>
          <w:sz w:val="28"/>
          <w:szCs w:val="28"/>
          <w:lang w:val="lv-LV" w:eastAsia="ar-SA"/>
        </w:rPr>
        <w:t>2017. gada 20. jūnija</w:t>
      </w:r>
    </w:p>
    <w:p w14:paraId="11F068D2" w14:textId="5AB22259" w:rsidR="005B1E3D" w:rsidRPr="004A1D98" w:rsidRDefault="00FA6628" w:rsidP="005B1E3D">
      <w:pPr>
        <w:spacing w:after="0" w:line="240" w:lineRule="auto"/>
        <w:jc w:val="right"/>
        <w:rPr>
          <w:rFonts w:ascii="Times New Roman" w:eastAsia="Calibri" w:hAnsi="Times New Roman" w:cs="Times New Roman"/>
          <w:sz w:val="28"/>
          <w:szCs w:val="28"/>
          <w:lang w:val="lv-LV"/>
        </w:rPr>
      </w:pPr>
      <w:r w:rsidRPr="004A1D98">
        <w:rPr>
          <w:rFonts w:ascii="Times New Roman" w:hAnsi="Times New Roman"/>
          <w:kern w:val="16"/>
          <w:sz w:val="28"/>
          <w:szCs w:val="28"/>
          <w:lang w:val="lv-LV" w:eastAsia="ar-SA"/>
        </w:rPr>
        <w:t>noteikumiem Nr.353</w:t>
      </w:r>
      <w:r w:rsidR="005B1E3D">
        <w:rPr>
          <w:rFonts w:ascii="Times New Roman" w:hAnsi="Times New Roman"/>
          <w:kern w:val="16"/>
          <w:sz w:val="28"/>
          <w:szCs w:val="28"/>
          <w:lang w:val="lv-LV" w:eastAsia="ar-SA"/>
        </w:rPr>
        <w:t xml:space="preserve"> </w:t>
      </w:r>
    </w:p>
    <w:p w14:paraId="11A69275" w14:textId="4EF1FE41" w:rsidR="00FA6628" w:rsidRPr="004A1D98" w:rsidRDefault="00FA6628" w:rsidP="00426910">
      <w:pPr>
        <w:pStyle w:val="ListParagraph"/>
        <w:spacing w:line="293" w:lineRule="atLeast"/>
        <w:ind w:left="0"/>
        <w:jc w:val="right"/>
        <w:rPr>
          <w:rFonts w:ascii="Times New Roman" w:hAnsi="Times New Roman"/>
          <w:kern w:val="16"/>
          <w:sz w:val="28"/>
          <w:szCs w:val="28"/>
          <w:lang w:val="lv-LV" w:eastAsia="ar-SA"/>
        </w:rPr>
      </w:pPr>
    </w:p>
    <w:p w14:paraId="4AAF4B39" w14:textId="77777777" w:rsidR="00FA6628" w:rsidRPr="004A1D98" w:rsidRDefault="00FA6628" w:rsidP="00426910">
      <w:pPr>
        <w:pStyle w:val="ListParagraph"/>
        <w:spacing w:line="293" w:lineRule="atLeast"/>
        <w:ind w:left="0"/>
        <w:jc w:val="right"/>
        <w:rPr>
          <w:rFonts w:ascii="Times New Roman" w:hAnsi="Times New Roman"/>
          <w:kern w:val="16"/>
          <w:sz w:val="28"/>
          <w:szCs w:val="28"/>
          <w:lang w:val="lv-LV" w:eastAsia="ar-SA"/>
        </w:rPr>
      </w:pPr>
    </w:p>
    <w:p w14:paraId="0EB42B34" w14:textId="77777777" w:rsidR="000D67AB" w:rsidRPr="004A1D98" w:rsidRDefault="000D67AB" w:rsidP="00426910">
      <w:pPr>
        <w:spacing w:after="0" w:line="240" w:lineRule="auto"/>
        <w:jc w:val="right"/>
        <w:rPr>
          <w:rFonts w:ascii="Times New Roman" w:eastAsia="Times New Roman" w:hAnsi="Times New Roman" w:cs="Times New Roman"/>
          <w:color w:val="000000"/>
          <w:sz w:val="28"/>
          <w:szCs w:val="28"/>
          <w:lang w:val="lv-LV" w:eastAsia="lv-LV"/>
        </w:rPr>
      </w:pPr>
    </w:p>
    <w:p w14:paraId="30EA11C1" w14:textId="49994447" w:rsidR="000D67AB" w:rsidRPr="004A1D98" w:rsidRDefault="000D67AB" w:rsidP="00426910">
      <w:pPr>
        <w:spacing w:after="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Zaļā publiskā iepirkuma (ZPI) prasības un  kritēriji, kurus var izmantot citu prioritāru preču un pakalpojumu grupu publiskajā iepirkumā</w:t>
      </w:r>
    </w:p>
    <w:p w14:paraId="1EB7E4DE" w14:textId="77777777" w:rsidR="000D67AB" w:rsidRPr="004A1D98" w:rsidRDefault="000D67AB" w:rsidP="00426910">
      <w:pPr>
        <w:spacing w:after="0" w:line="240" w:lineRule="auto"/>
        <w:jc w:val="center"/>
        <w:rPr>
          <w:rFonts w:ascii="Times New Roman" w:eastAsia="Times New Roman" w:hAnsi="Times New Roman" w:cs="Times New Roman"/>
          <w:color w:val="000000"/>
          <w:sz w:val="28"/>
          <w:szCs w:val="28"/>
          <w:lang w:val="lv-LV" w:eastAsia="lv-LV"/>
        </w:rPr>
      </w:pPr>
    </w:p>
    <w:p w14:paraId="0FD3E4A1" w14:textId="77777777" w:rsidR="000D67AB" w:rsidRPr="004A1D98" w:rsidRDefault="000D67AB" w:rsidP="00426910">
      <w:pPr>
        <w:spacing w:after="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Būvdarbi un preču un pakalpojumu grupas, kurām noteiktas ZPI prasības un  kritēriji</w:t>
      </w:r>
    </w:p>
    <w:p w14:paraId="4EF6AF02"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11A3AA88" w14:textId="71E19C2D"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1.</w:t>
      </w:r>
      <w:r w:rsidR="000D67AB" w:rsidRPr="004A1D98">
        <w:rPr>
          <w:rFonts w:ascii="Times New Roman" w:eastAsia="Times New Roman" w:hAnsi="Times New Roman" w:cs="Times New Roman"/>
          <w:color w:val="000000"/>
          <w:sz w:val="28"/>
          <w:szCs w:val="28"/>
          <w:lang w:val="lv-LV" w:eastAsia="lv-LV"/>
        </w:rPr>
        <w:t>Ceļu būve un satiksmes zīmes</w:t>
      </w:r>
    </w:p>
    <w:p w14:paraId="4ED1EE7C" w14:textId="77315C16"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2.</w:t>
      </w:r>
      <w:r w:rsidR="000D67AB" w:rsidRPr="004A1D98">
        <w:rPr>
          <w:rFonts w:ascii="Times New Roman" w:eastAsia="Times New Roman" w:hAnsi="Times New Roman" w:cs="Times New Roman"/>
          <w:color w:val="000000"/>
          <w:sz w:val="28"/>
          <w:szCs w:val="28"/>
          <w:lang w:val="lv-LV" w:eastAsia="lv-LV"/>
        </w:rPr>
        <w:t>Ūdens sildītāji siltuma ražošanai</w:t>
      </w:r>
    </w:p>
    <w:p w14:paraId="66B6E509" w14:textId="3BA6AE01"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3.</w:t>
      </w:r>
      <w:r w:rsidR="000D67AB" w:rsidRPr="004A1D98">
        <w:rPr>
          <w:rFonts w:ascii="Times New Roman" w:eastAsia="Times New Roman" w:hAnsi="Times New Roman" w:cs="Times New Roman"/>
          <w:color w:val="000000"/>
          <w:sz w:val="28"/>
          <w:szCs w:val="28"/>
          <w:lang w:val="lv-LV" w:eastAsia="lv-LV"/>
        </w:rPr>
        <w:t>Dārzkopības produkti un pakalpojumi</w:t>
      </w:r>
    </w:p>
    <w:p w14:paraId="117D69E2" w14:textId="046E3981"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4.</w:t>
      </w:r>
      <w:r w:rsidR="000D67AB" w:rsidRPr="004A1D98">
        <w:rPr>
          <w:rFonts w:ascii="Times New Roman" w:eastAsia="Times New Roman" w:hAnsi="Times New Roman" w:cs="Times New Roman"/>
          <w:color w:val="000000"/>
          <w:sz w:val="28"/>
          <w:szCs w:val="28"/>
          <w:lang w:val="lv-LV" w:eastAsia="lv-LV"/>
        </w:rPr>
        <w:t>Elektroenerģija</w:t>
      </w:r>
    </w:p>
    <w:p w14:paraId="1353ADE4" w14:textId="13A0B4E0"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5.</w:t>
      </w:r>
      <w:r w:rsidR="000D67AB" w:rsidRPr="004A1D98">
        <w:rPr>
          <w:rFonts w:ascii="Times New Roman" w:eastAsia="Times New Roman" w:hAnsi="Times New Roman" w:cs="Times New Roman"/>
          <w:color w:val="000000"/>
          <w:sz w:val="28"/>
          <w:szCs w:val="28"/>
          <w:lang w:val="lv-LV" w:eastAsia="lv-LV"/>
        </w:rPr>
        <w:t>Klozetpodi un pisuāri</w:t>
      </w:r>
    </w:p>
    <w:p w14:paraId="0C42AC71" w14:textId="1747B2E5"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6.</w:t>
      </w:r>
      <w:r w:rsidR="000D67AB" w:rsidRPr="004A1D98">
        <w:rPr>
          <w:rFonts w:ascii="Times New Roman" w:eastAsia="Times New Roman" w:hAnsi="Times New Roman" w:cs="Times New Roman"/>
          <w:color w:val="000000"/>
          <w:sz w:val="28"/>
          <w:szCs w:val="28"/>
          <w:lang w:val="lv-LV" w:eastAsia="lv-LV"/>
        </w:rPr>
        <w:t>Koģenerācijas iekārtas</w:t>
      </w:r>
    </w:p>
    <w:p w14:paraId="74DE2FC2" w14:textId="34A6B38A"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7.</w:t>
      </w:r>
      <w:r w:rsidR="000D67AB" w:rsidRPr="004A1D98">
        <w:rPr>
          <w:rFonts w:ascii="Times New Roman" w:eastAsia="Times New Roman" w:hAnsi="Times New Roman" w:cs="Times New Roman"/>
          <w:color w:val="000000"/>
          <w:sz w:val="28"/>
          <w:szCs w:val="28"/>
          <w:lang w:val="lv-LV" w:eastAsia="lv-LV"/>
        </w:rPr>
        <w:t>Mēbeles</w:t>
      </w:r>
    </w:p>
    <w:p w14:paraId="0ADB14F9" w14:textId="7A427F62"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8.</w:t>
      </w:r>
      <w:r w:rsidR="000D67AB" w:rsidRPr="004A1D98">
        <w:rPr>
          <w:rFonts w:ascii="Times New Roman" w:eastAsia="Times New Roman" w:hAnsi="Times New Roman" w:cs="Times New Roman"/>
          <w:color w:val="000000"/>
          <w:sz w:val="28"/>
          <w:szCs w:val="28"/>
          <w:lang w:val="lv-LV" w:eastAsia="lv-LV"/>
        </w:rPr>
        <w:t>Notekūdeņu infrastruktūra</w:t>
      </w:r>
    </w:p>
    <w:p w14:paraId="11C052BA" w14:textId="641DD307" w:rsidR="000D67AB" w:rsidRPr="004A1D98" w:rsidRDefault="007872ED" w:rsidP="00426910">
      <w:pPr>
        <w:spacing w:after="0" w:line="240" w:lineRule="auto"/>
        <w:jc w:val="both"/>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color w:val="000000"/>
          <w:sz w:val="28"/>
          <w:szCs w:val="28"/>
          <w:lang w:val="lv-LV" w:eastAsia="lv-LV"/>
        </w:rPr>
        <w:t>9.</w:t>
      </w:r>
      <w:r w:rsidR="000D67AB" w:rsidRPr="004A1D98">
        <w:rPr>
          <w:rFonts w:ascii="Times New Roman" w:eastAsia="Times New Roman" w:hAnsi="Times New Roman" w:cs="Times New Roman"/>
          <w:color w:val="000000"/>
          <w:sz w:val="28"/>
          <w:szCs w:val="28"/>
          <w:lang w:val="lv-LV" w:eastAsia="lv-LV"/>
        </w:rPr>
        <w:t>Sienu paneļi</w:t>
      </w:r>
    </w:p>
    <w:p w14:paraId="1A325AE0" w14:textId="67359A45"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r w:rsidR="007872ED">
        <w:rPr>
          <w:rFonts w:ascii="Times New Roman" w:eastAsia="Times New Roman" w:hAnsi="Times New Roman" w:cs="Times New Roman"/>
          <w:color w:val="000000"/>
          <w:sz w:val="28"/>
          <w:szCs w:val="28"/>
          <w:lang w:val="lv-LV" w:eastAsia="lv-LV"/>
        </w:rPr>
        <w:t>0.</w:t>
      </w:r>
      <w:r w:rsidRPr="004A1D98">
        <w:rPr>
          <w:rFonts w:ascii="Times New Roman" w:eastAsia="Times New Roman" w:hAnsi="Times New Roman" w:cs="Times New Roman"/>
          <w:color w:val="000000"/>
          <w:sz w:val="28"/>
          <w:szCs w:val="28"/>
          <w:lang w:val="lv-LV" w:eastAsia="lv-LV"/>
        </w:rPr>
        <w:t>Izlietnes krāni, dušas uzgaļi un to aprīkojums</w:t>
      </w:r>
    </w:p>
    <w:p w14:paraId="18D50AC9" w14:textId="0E6C2408"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r w:rsidR="007872ED">
        <w:rPr>
          <w:rFonts w:ascii="Times New Roman" w:eastAsia="Times New Roman" w:hAnsi="Times New Roman" w:cs="Times New Roman"/>
          <w:color w:val="000000"/>
          <w:sz w:val="28"/>
          <w:szCs w:val="28"/>
          <w:lang w:val="lv-LV" w:eastAsia="lv-LV"/>
        </w:rPr>
        <w:t>1.</w:t>
      </w:r>
      <w:r w:rsidRPr="004A1D98">
        <w:rPr>
          <w:rFonts w:ascii="Times New Roman" w:eastAsia="Times New Roman" w:hAnsi="Times New Roman" w:cs="Times New Roman"/>
          <w:color w:val="000000"/>
          <w:sz w:val="28"/>
          <w:szCs w:val="28"/>
          <w:lang w:val="lv-LV" w:eastAsia="lv-LV"/>
        </w:rPr>
        <w:t>Tekstilpreces</w:t>
      </w:r>
    </w:p>
    <w:p w14:paraId="400B7877" w14:textId="07B97165"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r w:rsidR="007872ED">
        <w:rPr>
          <w:rFonts w:ascii="Times New Roman" w:eastAsia="Times New Roman" w:hAnsi="Times New Roman" w:cs="Times New Roman"/>
          <w:color w:val="000000"/>
          <w:sz w:val="28"/>
          <w:szCs w:val="28"/>
          <w:lang w:val="lv-LV" w:eastAsia="lv-LV"/>
        </w:rPr>
        <w:t>2.</w:t>
      </w:r>
      <w:r w:rsidR="002A5D55" w:rsidRPr="002A5D55">
        <w:rPr>
          <w:rFonts w:ascii="Times New Roman" w:eastAsia="Times New Roman" w:hAnsi="Times New Roman" w:cs="Times New Roman"/>
          <w:color w:val="000000"/>
          <w:sz w:val="28"/>
          <w:szCs w:val="28"/>
          <w:lang w:val="lv-LV" w:eastAsia="lv-LV"/>
        </w:rPr>
        <w:t>Sabiedrisko transportlīdzekļu un atkritumu savākšanas transportlīdzekļu iegāde vai pakalpojumi</w:t>
      </w:r>
    </w:p>
    <w:p w14:paraId="131956F5" w14:textId="703FDD2C"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r w:rsidR="007872ED">
        <w:rPr>
          <w:rFonts w:ascii="Times New Roman" w:eastAsia="Times New Roman" w:hAnsi="Times New Roman" w:cs="Times New Roman"/>
          <w:color w:val="000000"/>
          <w:sz w:val="28"/>
          <w:szCs w:val="28"/>
          <w:lang w:val="lv-LV" w:eastAsia="lv-LV"/>
        </w:rPr>
        <w:t>3.</w:t>
      </w:r>
      <w:r w:rsidRPr="004A1D98">
        <w:rPr>
          <w:rFonts w:ascii="Times New Roman" w:eastAsia="Times New Roman" w:hAnsi="Times New Roman" w:cs="Times New Roman"/>
          <w:color w:val="000000"/>
          <w:sz w:val="28"/>
          <w:szCs w:val="28"/>
          <w:lang w:val="lv-LV" w:eastAsia="lv-LV"/>
        </w:rPr>
        <w:t>Veselības aprūpes elektriskās un elektroniskās iekārtas (veselības aprūpes EEI)</w:t>
      </w:r>
    </w:p>
    <w:p w14:paraId="4E29B3CB" w14:textId="5D14C4A3"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r w:rsidR="007872ED">
        <w:rPr>
          <w:rFonts w:ascii="Times New Roman" w:eastAsia="Times New Roman" w:hAnsi="Times New Roman" w:cs="Times New Roman"/>
          <w:color w:val="000000"/>
          <w:sz w:val="28"/>
          <w:szCs w:val="28"/>
          <w:lang w:val="lv-LV" w:eastAsia="lv-LV"/>
        </w:rPr>
        <w:t>4</w:t>
      </w:r>
      <w:r w:rsidRPr="004A1D98">
        <w:rPr>
          <w:rFonts w:ascii="Times New Roman" w:eastAsia="Times New Roman" w:hAnsi="Times New Roman" w:cs="Times New Roman"/>
          <w:color w:val="000000"/>
          <w:sz w:val="28"/>
          <w:szCs w:val="28"/>
          <w:lang w:val="lv-LV" w:eastAsia="lv-LV"/>
        </w:rPr>
        <w:t>. Atpūtas un sporta infrastruktūra</w:t>
      </w:r>
    </w:p>
    <w:p w14:paraId="30E354D4"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1C3A19F1"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Vides aizsardzības un reģionālās attīstības ministrija iesniedz nacionālajai standartizācijas institūcijai publicēšanai tās tīmekļvietnē to piemērojamo standartu sarakstu, kurus var piemērot šo noteikumu prasību izpildei  (turpmāk – piemērojamie standarti).</w:t>
      </w:r>
    </w:p>
    <w:p w14:paraId="2E3938EA" w14:textId="7F3D9571" w:rsidR="000D67AB" w:rsidRPr="004A1D98" w:rsidRDefault="000D67AB" w:rsidP="00967686">
      <w:pPr>
        <w:keepNext/>
        <w:keepLines/>
        <w:spacing w:before="480" w:after="0" w:line="240" w:lineRule="auto"/>
        <w:jc w:val="center"/>
        <w:outlineLvl w:val="0"/>
        <w:rPr>
          <w:rFonts w:ascii="Times New Roman" w:eastAsia="Times New Roman" w:hAnsi="Times New Roman" w:cs="Times New Roman"/>
          <w:caps/>
          <w:color w:val="8F9C00"/>
          <w:sz w:val="28"/>
          <w:szCs w:val="28"/>
          <w:lang w:val="lv-LV" w:eastAsia="lv-LV"/>
        </w:rPr>
      </w:pPr>
      <w:r w:rsidRPr="004A1D98">
        <w:rPr>
          <w:rFonts w:ascii="Times New Roman" w:eastAsia="MS Gothic" w:hAnsi="Times New Roman" w:cs="Times New Roman"/>
          <w:b/>
          <w:bCs/>
          <w:color w:val="000000"/>
          <w:sz w:val="28"/>
          <w:szCs w:val="28"/>
          <w:lang w:val="lv-LV" w:eastAsia="lv-LV"/>
        </w:rPr>
        <w:lastRenderedPageBreak/>
        <w:t xml:space="preserve"> </w:t>
      </w:r>
      <w:bookmarkStart w:id="0" w:name="_Toc25517084"/>
      <w:bookmarkStart w:id="1" w:name="_Toc25587981"/>
      <w:bookmarkStart w:id="2" w:name="_Toc29625599"/>
      <w:bookmarkStart w:id="3" w:name="_Toc29804494"/>
    </w:p>
    <w:bookmarkEnd w:id="0"/>
    <w:bookmarkEnd w:id="1"/>
    <w:bookmarkEnd w:id="2"/>
    <w:bookmarkEnd w:id="3"/>
    <w:p w14:paraId="141E974C" w14:textId="2F4831D1"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Pr>
          <w:rFonts w:ascii="Times New Roman" w:eastAsia="MS Gothic" w:hAnsi="Times New Roman" w:cs="Times New Roman"/>
          <w:b/>
          <w:bCs/>
          <w:color w:val="000000"/>
          <w:sz w:val="28"/>
          <w:szCs w:val="28"/>
          <w:lang w:val="lv-LV"/>
        </w:rPr>
        <w:t>1</w:t>
      </w:r>
      <w:r w:rsidR="000D67AB" w:rsidRPr="004A1D98">
        <w:rPr>
          <w:rFonts w:ascii="Times New Roman" w:eastAsia="MS Gothic" w:hAnsi="Times New Roman" w:cs="Times New Roman"/>
          <w:b/>
          <w:bCs/>
          <w:color w:val="000000"/>
          <w:sz w:val="28"/>
          <w:szCs w:val="28"/>
          <w:lang w:val="lv-LV"/>
        </w:rPr>
        <w:t>. Ceļu projektēšana, būvniecība un uzturēšana</w:t>
      </w:r>
    </w:p>
    <w:p w14:paraId="749EF1C8" w14:textId="77777777" w:rsidR="000D67AB" w:rsidRPr="004A1D98" w:rsidRDefault="000D67AB" w:rsidP="00426910">
      <w:pPr>
        <w:spacing w:before="100" w:beforeAutospacing="1" w:after="100" w:afterAutospacing="1" w:line="276" w:lineRule="auto"/>
        <w:ind w:firstLine="720"/>
        <w:jc w:val="both"/>
        <w:rPr>
          <w:rFonts w:ascii="Times New Roman" w:eastAsia="Times New Roman" w:hAnsi="Times New Roman" w:cs="Times New Roman"/>
          <w:color w:val="000000"/>
          <w:sz w:val="28"/>
          <w:szCs w:val="28"/>
          <w:lang w:val="lv-LV"/>
        </w:rPr>
      </w:pPr>
      <w:bookmarkStart w:id="4" w:name="_Hlk20764896"/>
      <w:r w:rsidRPr="004A1D98">
        <w:rPr>
          <w:rFonts w:ascii="Times New Roman" w:eastAsia="Times New Roman" w:hAnsi="Times New Roman" w:cs="Times New Roman"/>
          <w:color w:val="000000"/>
          <w:sz w:val="28"/>
          <w:szCs w:val="28"/>
          <w:lang w:val="lv-LV"/>
        </w:rPr>
        <w:t xml:space="preserve">Jauna ceļa būvniecības process vai uzturēšanas pasākumi sastāv no skaidrām un secīgām iepirkuma darbībām un attiecīgiem līgumiem. Atkarībā no izvēlētā iepirkuma procesa šādus līgumus var piešķirt vienam līgumslēdzējam vai līgumi tiek piešķirti atsevišķi. Daži līgumi var būt iestrādāti projekta un būvniecības (PB) vai projekta, būvniecības un ekspluatācijas (PBE) līgumā, kas var paredzēt, ka tehniskā projekta izstrādes procesu, būvniecības pamatlīgumu, uzturēšanas un ekspluatācijas līgumu koordinē viens darbuzņēmējs. </w:t>
      </w:r>
    </w:p>
    <w:p w14:paraId="10AE882F" w14:textId="77777777" w:rsidR="000D67AB" w:rsidRPr="004A1D98" w:rsidRDefault="000D67AB" w:rsidP="00426910">
      <w:pPr>
        <w:spacing w:before="120" w:after="120" w:line="276" w:lineRule="auto"/>
        <w:ind w:firstLine="720"/>
        <w:jc w:val="both"/>
        <w:rPr>
          <w:rFonts w:ascii="Times New Roman" w:eastAsia="SimSun" w:hAnsi="Times New Roman" w:cs="Times New Roman"/>
          <w:color w:val="000000"/>
          <w:sz w:val="28"/>
          <w:szCs w:val="28"/>
          <w:lang w:val="lv-LV"/>
        </w:rPr>
      </w:pPr>
      <w:r w:rsidRPr="004A1D98">
        <w:rPr>
          <w:rFonts w:ascii="Times New Roman" w:eastAsia="SimSun" w:hAnsi="Times New Roman" w:cs="Times New Roman"/>
          <w:color w:val="000000"/>
          <w:sz w:val="28"/>
          <w:szCs w:val="28"/>
          <w:lang w:val="lv-LV"/>
        </w:rPr>
        <w:t xml:space="preserve">ZPI prasības un kritēriji iedalīti 5 atsevišķās grupās atbilstoši šiem noteiktajiem iepirkuma procesa posmiem (A-E). Atkarībā no projekta vērienīguma un līgumslēdzējas iestādes pieredzes ne visi šajā prasību un kritēriju kopā ietvertie ZPI kritēriji būs piemērojami. Kopumā tomēr ZPI kritēriji ir vērsti uz ceļu kā sistēmu, nevis uz atsevišķiem ceļa elementiem. Jāatzīmē, ka atsevišķi ir pieejami ZPI kritēriji ielu apgaismojumam un satiksmes signāliem, ko var izmantot iepirkuma kontekstā saistībā ar ceļu. </w:t>
      </w:r>
    </w:p>
    <w:p w14:paraId="12AB36BD" w14:textId="7FABDE3D"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Pr>
          <w:rFonts w:ascii="Times New Roman" w:eastAsia="MS Gothic" w:hAnsi="Times New Roman" w:cs="Times New Roman"/>
          <w:b/>
          <w:bCs/>
          <w:color w:val="000000"/>
          <w:sz w:val="28"/>
          <w:szCs w:val="28"/>
          <w:lang w:val="lv-LV"/>
        </w:rPr>
        <w:t>1</w:t>
      </w:r>
      <w:r w:rsidR="000D67AB" w:rsidRPr="004A1D98">
        <w:rPr>
          <w:rFonts w:ascii="Times New Roman" w:eastAsia="MS Gothic" w:hAnsi="Times New Roman" w:cs="Times New Roman"/>
          <w:b/>
          <w:bCs/>
          <w:color w:val="000000"/>
          <w:sz w:val="28"/>
          <w:szCs w:val="28"/>
          <w:lang w:val="lv-LV"/>
        </w:rPr>
        <w:t xml:space="preserve">.1. ZPI prasības un kritēriji ceļu projektēšanai, būvniecībai un uzturēšanai </w:t>
      </w:r>
    </w:p>
    <w:tbl>
      <w:tblPr>
        <w:tblStyle w:val="TableGrid4"/>
        <w:tblW w:w="8500" w:type="dxa"/>
        <w:tblLook w:val="04A0" w:firstRow="1" w:lastRow="0" w:firstColumn="1" w:lastColumn="0" w:noHBand="0" w:noVBand="1"/>
      </w:tblPr>
      <w:tblGrid>
        <w:gridCol w:w="2405"/>
        <w:gridCol w:w="6095"/>
      </w:tblGrid>
      <w:tr w:rsidR="000D67AB" w:rsidRPr="004A1D98" w14:paraId="143DD028" w14:textId="77777777" w:rsidTr="000A7815">
        <w:trPr>
          <w:trHeight w:val="552"/>
        </w:trPr>
        <w:tc>
          <w:tcPr>
            <w:tcW w:w="2405" w:type="dxa"/>
            <w:shd w:val="clear" w:color="auto" w:fill="BFBFBF"/>
          </w:tcPr>
          <w:p w14:paraId="4D5FA4F6"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Iepirkuma dokumentu sastāvdaļas</w:t>
            </w:r>
          </w:p>
        </w:tc>
        <w:tc>
          <w:tcPr>
            <w:tcW w:w="6095" w:type="dxa"/>
            <w:shd w:val="clear" w:color="auto" w:fill="BFBFBF"/>
          </w:tcPr>
          <w:p w14:paraId="694842F6"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ZPI prasības un kritēriji</w:t>
            </w:r>
          </w:p>
        </w:tc>
      </w:tr>
      <w:tr w:rsidR="000D67AB" w:rsidRPr="004A1D98" w14:paraId="1C9EBF4E" w14:textId="77777777" w:rsidTr="000A7815">
        <w:trPr>
          <w:trHeight w:val="552"/>
        </w:trPr>
        <w:tc>
          <w:tcPr>
            <w:tcW w:w="2405" w:type="dxa"/>
          </w:tcPr>
          <w:p w14:paraId="22673A8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Iepirkuma  līguma priekšmets</w:t>
            </w:r>
          </w:p>
        </w:tc>
        <w:tc>
          <w:tcPr>
            <w:tcW w:w="6095" w:type="dxa"/>
          </w:tcPr>
          <w:p w14:paraId="6D3CA55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Jaunu resursefektīvu ceļu būvniecība, kuru tehniskajā projektā ņemta vērā plašāka ietekme uz vidi, piemēram, troksnis, ūdens novade un transportlīdzekļu degvielas patēriņš lietošanas laikā, </w:t>
            </w:r>
          </w:p>
          <w:p w14:paraId="4A9F7D61"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 xml:space="preserve">vai </w:t>
            </w:r>
          </w:p>
          <w:p w14:paraId="6399C17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Esošo ceļu uzturēšanas darbi vai nozīmīga atjaunošana resursefektīvā veidā, kurā ņemta vērā plašāka vides ietekme, piemēram, troksnis, ūdens </w:t>
            </w:r>
            <w:r w:rsidRPr="004A1D98">
              <w:rPr>
                <w:rFonts w:ascii="Times New Roman" w:hAnsi="Times New Roman"/>
                <w:color w:val="000000"/>
                <w:sz w:val="28"/>
                <w:szCs w:val="28"/>
              </w:rPr>
              <w:lastRenderedPageBreak/>
              <w:t xml:space="preserve">novade un transportlīdzekļu degvielas patēriņš lietošanas laikā. </w:t>
            </w:r>
          </w:p>
        </w:tc>
      </w:tr>
    </w:tbl>
    <w:p w14:paraId="111DD01B" w14:textId="77777777" w:rsidR="000D67AB" w:rsidRPr="004A1D98" w:rsidRDefault="000D67AB" w:rsidP="00426910">
      <w:pPr>
        <w:spacing w:after="120" w:line="264" w:lineRule="auto"/>
        <w:jc w:val="both"/>
        <w:rPr>
          <w:rFonts w:ascii="Times New Roman" w:eastAsia="SimSun" w:hAnsi="Times New Roman" w:cs="Times New Roman"/>
          <w:b/>
          <w:color w:val="000000"/>
          <w:sz w:val="28"/>
          <w:szCs w:val="28"/>
          <w:lang w:val="lv-LV"/>
        </w:rPr>
      </w:pPr>
    </w:p>
    <w:p w14:paraId="3FC55B33" w14:textId="77777777" w:rsidR="000D67AB" w:rsidRPr="004A1D98" w:rsidRDefault="000D67AB" w:rsidP="00426910">
      <w:pPr>
        <w:spacing w:after="120" w:line="264" w:lineRule="auto"/>
        <w:jc w:val="both"/>
        <w:rPr>
          <w:rFonts w:ascii="Times New Roman" w:eastAsia="SimSun" w:hAnsi="Times New Roman" w:cs="Times New Roman"/>
          <w:i/>
          <w:iCs/>
          <w:color w:val="000000"/>
          <w:sz w:val="28"/>
          <w:szCs w:val="28"/>
          <w:lang w:val="lv-LV"/>
        </w:rPr>
      </w:pPr>
    </w:p>
    <w:p w14:paraId="114880A2" w14:textId="77777777" w:rsidR="000D67AB" w:rsidRPr="004A1D98" w:rsidRDefault="000D67AB" w:rsidP="00426910">
      <w:pPr>
        <w:spacing w:after="120" w:line="264" w:lineRule="auto"/>
        <w:jc w:val="both"/>
        <w:rPr>
          <w:rFonts w:ascii="Times New Roman" w:eastAsia="SimSun" w:hAnsi="Times New Roman" w:cs="Times New Roman"/>
          <w:color w:val="000000"/>
          <w:sz w:val="28"/>
          <w:szCs w:val="28"/>
          <w:lang w:val="lv-LV"/>
        </w:rPr>
      </w:pPr>
    </w:p>
    <w:p w14:paraId="257B76CF" w14:textId="77777777"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A. ZPI prasības un kritēriji sīkām būvprojekta tehniskajām un izpildes prasībām</w:t>
      </w:r>
    </w:p>
    <w:tbl>
      <w:tblPr>
        <w:tblStyle w:val="TableGrid4"/>
        <w:tblW w:w="8500" w:type="dxa"/>
        <w:tblLayout w:type="fixed"/>
        <w:tblLook w:val="04A0" w:firstRow="1" w:lastRow="0" w:firstColumn="1" w:lastColumn="0" w:noHBand="0" w:noVBand="1"/>
      </w:tblPr>
      <w:tblGrid>
        <w:gridCol w:w="2405"/>
        <w:gridCol w:w="6095"/>
      </w:tblGrid>
      <w:tr w:rsidR="000D67AB" w:rsidRPr="004A1D98" w14:paraId="316185B6" w14:textId="77777777" w:rsidTr="000A7815">
        <w:trPr>
          <w:trHeight w:val="552"/>
        </w:trPr>
        <w:tc>
          <w:tcPr>
            <w:tcW w:w="2405" w:type="dxa"/>
            <w:shd w:val="clear" w:color="auto" w:fill="BFBFBF"/>
          </w:tcPr>
          <w:p w14:paraId="0C89A045"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Iepirkuma dokumentu sastāvdaļas</w:t>
            </w:r>
          </w:p>
        </w:tc>
        <w:tc>
          <w:tcPr>
            <w:tcW w:w="6095" w:type="dxa"/>
            <w:shd w:val="clear" w:color="auto" w:fill="BFBFBF"/>
          </w:tcPr>
          <w:p w14:paraId="16D62BF8"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ZPI prasības un kritēriji</w:t>
            </w:r>
          </w:p>
        </w:tc>
      </w:tr>
      <w:tr w:rsidR="000D67AB" w:rsidRPr="004A1D98" w14:paraId="47A2CA20" w14:textId="77777777" w:rsidTr="000A7815">
        <w:trPr>
          <w:trHeight w:val="552"/>
        </w:trPr>
        <w:tc>
          <w:tcPr>
            <w:tcW w:w="2405" w:type="dxa"/>
            <w:vMerge w:val="restart"/>
          </w:tcPr>
          <w:p w14:paraId="05536EF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Tehniskās specifikācijas</w:t>
            </w:r>
          </w:p>
          <w:p w14:paraId="6CD39C2A" w14:textId="77777777" w:rsidR="000D67AB" w:rsidRPr="004A1D98" w:rsidRDefault="000D67AB" w:rsidP="00426910">
            <w:pPr>
              <w:spacing w:before="120"/>
              <w:jc w:val="both"/>
              <w:rPr>
                <w:rFonts w:ascii="Times New Roman" w:hAnsi="Times New Roman"/>
                <w:color w:val="000000"/>
                <w:sz w:val="28"/>
                <w:szCs w:val="28"/>
              </w:rPr>
            </w:pPr>
          </w:p>
        </w:tc>
        <w:tc>
          <w:tcPr>
            <w:tcW w:w="6095" w:type="dxa"/>
          </w:tcPr>
          <w:p w14:paraId="0D1AF331" w14:textId="77777777" w:rsidR="000D67AB" w:rsidRPr="004A1D98" w:rsidRDefault="000D67AB" w:rsidP="00426910">
            <w:pPr>
              <w:ind w:hanging="33"/>
              <w:jc w:val="both"/>
              <w:rPr>
                <w:rFonts w:ascii="Times New Roman" w:hAnsi="Times New Roman"/>
                <w:sz w:val="28"/>
                <w:szCs w:val="28"/>
              </w:rPr>
            </w:pPr>
            <w:r w:rsidRPr="004A1D98">
              <w:rPr>
                <w:rFonts w:ascii="Times New Roman" w:hAnsi="Times New Roman"/>
                <w:sz w:val="28"/>
                <w:szCs w:val="28"/>
              </w:rPr>
              <w:t xml:space="preserve">A1. ZEMAS TEMPERATŪRAS ASFALTS </w:t>
            </w:r>
          </w:p>
          <w:p w14:paraId="5DF0630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Projektētājiem </w:t>
            </w:r>
            <w:r w:rsidRPr="004A1D98">
              <w:rPr>
                <w:rFonts w:ascii="Times New Roman" w:hAnsi="Times New Roman"/>
                <w:i/>
                <w:color w:val="000000"/>
                <w:sz w:val="28"/>
                <w:szCs w:val="28"/>
              </w:rPr>
              <w:t>vai</w:t>
            </w:r>
            <w:r w:rsidRPr="004A1D98">
              <w:rPr>
                <w:rFonts w:ascii="Times New Roman" w:hAnsi="Times New Roman"/>
                <w:color w:val="000000"/>
                <w:sz w:val="28"/>
                <w:szCs w:val="28"/>
              </w:rPr>
              <w:t xml:space="preserve"> PB piegādātājam, </w:t>
            </w:r>
            <w:r w:rsidRPr="004A1D98">
              <w:rPr>
                <w:rFonts w:ascii="Times New Roman" w:hAnsi="Times New Roman"/>
                <w:i/>
                <w:color w:val="000000"/>
                <w:sz w:val="28"/>
                <w:szCs w:val="28"/>
              </w:rPr>
              <w:t>vai</w:t>
            </w:r>
            <w:r w:rsidRPr="004A1D98">
              <w:rPr>
                <w:rFonts w:ascii="Times New Roman" w:hAnsi="Times New Roman"/>
                <w:color w:val="000000"/>
                <w:sz w:val="28"/>
                <w:szCs w:val="28"/>
              </w:rPr>
              <w:t xml:space="preserve"> PBE piegādātājam jāpiemēro vislabākā prakse un metodes bitumena maisījumu ieklāšanā, lai samazinātu asfalta ražošanas un ieklāšanas temperatūru. </w:t>
            </w:r>
          </w:p>
          <w:p w14:paraId="6A15227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Ieklāšanai paredzēto virsmas un saistkārtu bitumena maisījumu temperatūra nedrīkst pārsniegt 140 °C. Ieklāšanas temperatūra virs 140 °C, bet ne augstāka par 155 °C, ir pieļaujama tikai gadījumos, kad tiek izmantoti augstākas viskozitātes bitumena maisījumi. </w:t>
            </w:r>
          </w:p>
          <w:p w14:paraId="47D93921" w14:textId="77777777" w:rsidR="000D67AB" w:rsidRPr="004A1D98" w:rsidRDefault="000D67AB" w:rsidP="00426910">
            <w:pPr>
              <w:spacing w:before="120"/>
              <w:jc w:val="both"/>
              <w:rPr>
                <w:rFonts w:ascii="Times New Roman" w:hAnsi="Times New Roman"/>
                <w:color w:val="000000"/>
                <w:sz w:val="28"/>
                <w:szCs w:val="28"/>
              </w:rPr>
            </w:pPr>
          </w:p>
          <w:p w14:paraId="73717C67" w14:textId="77777777" w:rsidR="000D67AB" w:rsidRPr="004A1D98" w:rsidRDefault="000D67AB" w:rsidP="00426910">
            <w:pPr>
              <w:ind w:hanging="33"/>
              <w:jc w:val="both"/>
              <w:rPr>
                <w:rFonts w:ascii="Times New Roman" w:hAnsi="Times New Roman"/>
                <w:sz w:val="28"/>
                <w:szCs w:val="28"/>
              </w:rPr>
            </w:pPr>
            <w:r w:rsidRPr="004A1D98">
              <w:rPr>
                <w:rFonts w:ascii="Times New Roman" w:hAnsi="Times New Roman"/>
                <w:sz w:val="28"/>
                <w:szCs w:val="28"/>
              </w:rPr>
              <w:t xml:space="preserve">A2. IZRAKTO MATERIĀLU UN GRUNTS APSAIMNIEKOŠANAS PLĀNS </w:t>
            </w:r>
          </w:p>
          <w:p w14:paraId="63BE7E51"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Rakšanas darbos radītie atkritumi, izņemot būvgružus un nojaukšanas atkritumus, ir jāprotokolē. </w:t>
            </w:r>
          </w:p>
          <w:p w14:paraId="1E00CFDB"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Jāsagatavo izrakto materiālu un grunts apsaimniekošanas plāns, izveidojot dalītās vākšanas sistēmas: </w:t>
            </w:r>
          </w:p>
          <w:p w14:paraId="2032C3A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  izraktajiem materiāliem, kas radušies rakšanas darbos, piemēram, no būvlaukuma sagatavošanas un līmeņošanas, pamatu, pagraba un tranšejas rakšanas, parasti grunts un akmeņi, arī augsnes apakškārtai, </w:t>
            </w:r>
          </w:p>
          <w:p w14:paraId="56888EE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(ii)  augsnes virskārtai. </w:t>
            </w:r>
          </w:p>
          <w:p w14:paraId="4FDECDFE" w14:textId="77777777" w:rsidR="000D67AB" w:rsidRPr="004A1D98" w:rsidRDefault="000D67AB" w:rsidP="00426910">
            <w:pPr>
              <w:widowControl w:val="0"/>
              <w:autoSpaceDE w:val="0"/>
              <w:autoSpaceDN w:val="0"/>
              <w:adjustRightInd w:val="0"/>
              <w:jc w:val="both"/>
              <w:rPr>
                <w:rFonts w:ascii="Times New Roman" w:hAnsi="Times New Roman"/>
                <w:color w:val="000000"/>
                <w:sz w:val="28"/>
                <w:szCs w:val="28"/>
              </w:rPr>
            </w:pPr>
            <w:r w:rsidRPr="004A1D98">
              <w:rPr>
                <w:rFonts w:ascii="Times New Roman" w:hAnsi="Times New Roman"/>
                <w:color w:val="000000"/>
                <w:sz w:val="28"/>
                <w:szCs w:val="28"/>
              </w:rPr>
              <w:t xml:space="preserve">Maksimāli jāievieš gan izrakto materiālu, gan augsnes virskārtas atkārtotas izmantošanas slēgtā aprite būvlaukumā atbilstoši oglekļa pēdas (OP) vai aprites cikla novērtējuma (ACN) raksturlielumu izvērtējuma rezultātiem (skatīt B14 kritēriju). Izrakto materiālu dalītā vākšana atkārtotai izmantošanai, pārstrādāšanai un atgūšanai notiek atbilstoši atkritumu apsaimniekošanas hierarhijai, kas noteikta </w:t>
            </w:r>
            <w:r w:rsidRPr="004A1D98">
              <w:rPr>
                <w:rFonts w:ascii="Times New Roman" w:hAnsi="Times New Roman"/>
                <w:bCs/>
                <w:color w:val="000000"/>
                <w:sz w:val="28"/>
                <w:szCs w:val="28"/>
              </w:rPr>
              <w:t xml:space="preserve">Ministru kabineta </w:t>
            </w:r>
            <w:r w:rsidRPr="004A1D98">
              <w:rPr>
                <w:rFonts w:ascii="Times New Roman" w:hAnsi="Times New Roman"/>
                <w:color w:val="000000"/>
                <w:sz w:val="28"/>
                <w:szCs w:val="28"/>
              </w:rPr>
              <w:t xml:space="preserve">2013.gada 2.aprīļa </w:t>
            </w:r>
            <w:r w:rsidRPr="004A1D98">
              <w:rPr>
                <w:rFonts w:ascii="Times New Roman" w:hAnsi="Times New Roman"/>
                <w:bCs/>
                <w:color w:val="000000"/>
                <w:sz w:val="28"/>
                <w:szCs w:val="28"/>
              </w:rPr>
              <w:t>noteikumos Nr.184</w:t>
            </w:r>
            <w:r w:rsidRPr="004A1D98">
              <w:rPr>
                <w:rFonts w:ascii="Times New Roman" w:hAnsi="Times New Roman"/>
                <w:color w:val="000000"/>
                <w:sz w:val="28"/>
                <w:szCs w:val="28"/>
              </w:rPr>
              <w:t xml:space="preserve"> "</w:t>
            </w:r>
            <w:r w:rsidRPr="004A1D98">
              <w:rPr>
                <w:rFonts w:ascii="Times New Roman" w:hAnsi="Times New Roman"/>
                <w:bCs/>
                <w:color w:val="000000"/>
                <w:sz w:val="28"/>
                <w:szCs w:val="28"/>
              </w:rPr>
              <w:t>Noteikumi par atkritumu dalītu savākšanu, sagatavošanu atkārtotai izmantošanai, pārstrādi un materiālu reģenerāciju".</w:t>
            </w:r>
            <w:r w:rsidRPr="004A1D98">
              <w:rPr>
                <w:rFonts w:ascii="Times New Roman" w:hAnsi="Times New Roman"/>
                <w:color w:val="000000"/>
                <w:sz w:val="28"/>
                <w:szCs w:val="28"/>
              </w:rPr>
              <w:t xml:space="preserve"> </w:t>
            </w:r>
          </w:p>
          <w:p w14:paraId="31916B35" w14:textId="77777777" w:rsidR="000D67AB" w:rsidRPr="004A1D98" w:rsidRDefault="000D67AB" w:rsidP="00426910">
            <w:pPr>
              <w:ind w:hanging="33"/>
              <w:jc w:val="both"/>
              <w:rPr>
                <w:rFonts w:ascii="Times New Roman" w:hAnsi="Times New Roman"/>
                <w:sz w:val="28"/>
                <w:szCs w:val="28"/>
              </w:rPr>
            </w:pPr>
            <w:r w:rsidRPr="004A1D98">
              <w:rPr>
                <w:rFonts w:ascii="Times New Roman" w:hAnsi="Times New Roman"/>
                <w:sz w:val="28"/>
                <w:szCs w:val="28"/>
              </w:rPr>
              <w:t xml:space="preserve">A3. RAKSTURLIELUMU PRASĪBAS ŪDENS PIESĀRŅOJUMA KONTROLES KOMPONENTIEM ŪDENS NOVADES SISTĒMĀS </w:t>
            </w:r>
          </w:p>
          <w:p w14:paraId="32CA933E"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Ja noteku savienojumi nav īpaši noteikti vietējos noteikumos vai tie nav nepieciešami īpašu apstākļu dēļ. </w:t>
            </w:r>
          </w:p>
          <w:p w14:paraId="207F73D6"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Ceļu ūdens novades sistēma nedrīkst būt pievienota maģistrālajām notekcaurulēm. </w:t>
            </w:r>
          </w:p>
          <w:p w14:paraId="548BA91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Ūdens novades sistēmā jāietver ūdens novades komponenti, kas palīdz atdalīt no lietus ūdens nogulsnes un cietās daļiņas. </w:t>
            </w:r>
          </w:p>
          <w:p w14:paraId="0CE1C03B" w14:textId="77777777" w:rsidR="000D67AB" w:rsidRPr="004A1D98" w:rsidRDefault="000D67AB" w:rsidP="00426910">
            <w:pPr>
              <w:ind w:hanging="33"/>
              <w:jc w:val="both"/>
              <w:rPr>
                <w:rFonts w:ascii="Times New Roman" w:hAnsi="Times New Roman"/>
                <w:sz w:val="28"/>
                <w:szCs w:val="28"/>
              </w:rPr>
            </w:pPr>
            <w:r w:rsidRPr="004A1D98">
              <w:rPr>
                <w:rFonts w:ascii="Times New Roman" w:hAnsi="Times New Roman"/>
                <w:sz w:val="28"/>
                <w:szCs w:val="28"/>
              </w:rPr>
              <w:t xml:space="preserve">A4. RAKSTURLIELUMU PRASĪBAS LIETUS ŪDENS AIZTURĒŠANAS KAPACITĀTEI ŪDENS NOVADES SISTĒMĀS </w:t>
            </w:r>
          </w:p>
          <w:p w14:paraId="4B983CB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i/>
                <w:color w:val="000000"/>
                <w:sz w:val="28"/>
                <w:szCs w:val="28"/>
              </w:rPr>
              <w:t>Kad tas noteikts tiesību aktos vai kad tam ir īpaša nozīme konkrētajā vietā</w:t>
            </w:r>
            <w:r w:rsidRPr="004A1D98">
              <w:rPr>
                <w:rFonts w:ascii="Times New Roman" w:hAnsi="Times New Roman"/>
                <w:color w:val="000000"/>
                <w:sz w:val="28"/>
                <w:szCs w:val="28"/>
              </w:rPr>
              <w:t xml:space="preserve">. </w:t>
            </w:r>
          </w:p>
          <w:p w14:paraId="2A5F56C3"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Ūdens novades sistēmu projektē tā, lai tā spētu: </w:t>
            </w:r>
          </w:p>
          <w:p w14:paraId="2690357B" w14:textId="77777777" w:rsidR="000D67AB" w:rsidRPr="004A1D98" w:rsidRDefault="000D67AB" w:rsidP="00426910">
            <w:pPr>
              <w:spacing w:before="120" w:beforeAutospacing="1" w:after="120" w:afterAutospacing="1"/>
              <w:ind w:hanging="709"/>
              <w:jc w:val="both"/>
              <w:rPr>
                <w:rFonts w:ascii="Times New Roman" w:hAnsi="Times New Roman"/>
                <w:color w:val="000000"/>
                <w:sz w:val="28"/>
                <w:szCs w:val="28"/>
              </w:rPr>
            </w:pPr>
            <w:r w:rsidRPr="004A1D98">
              <w:rPr>
                <w:rFonts w:ascii="Times New Roman" w:hAnsi="Times New Roman"/>
                <w:color w:val="000000"/>
                <w:sz w:val="28"/>
                <w:szCs w:val="28"/>
              </w:rPr>
              <w:t xml:space="preserve">A.4.1. savākt nokrišņu daudzumu, kas radies aprēķina lietusgāzē ar atkārtošanās periodu vienu reizi X gados un ilgumu Y minūtes noteiktā teritorijā, no kuras novada ūdeni; </w:t>
            </w:r>
          </w:p>
          <w:p w14:paraId="056083D5" w14:textId="77777777" w:rsidR="000D67AB" w:rsidRPr="004A1D98" w:rsidRDefault="000D67AB" w:rsidP="00426910">
            <w:pPr>
              <w:spacing w:before="120"/>
              <w:ind w:hanging="743"/>
              <w:jc w:val="both"/>
              <w:rPr>
                <w:rFonts w:ascii="Times New Roman" w:hAnsi="Times New Roman"/>
                <w:color w:val="000000"/>
                <w:sz w:val="28"/>
                <w:szCs w:val="28"/>
              </w:rPr>
            </w:pPr>
            <w:r w:rsidRPr="004A1D98">
              <w:rPr>
                <w:rFonts w:ascii="Times New Roman" w:hAnsi="Times New Roman"/>
                <w:color w:val="000000"/>
                <w:sz w:val="28"/>
                <w:szCs w:val="28"/>
              </w:rPr>
              <w:t xml:space="preserve">A.4.2. ierobežot maksimālos noteces rādītājus no ūdens novades sistēmas, lai tie nepārsniegtu neskartas teritorijas rādītājus vai citu konkrētu vērtību, ko skaidri noteikusi līgumslēdzēja iestāde uzaicinājumā iesniegt piedāvājumu. </w:t>
            </w:r>
          </w:p>
          <w:p w14:paraId="62AE352E" w14:textId="77777777" w:rsidR="000D67AB" w:rsidRPr="004A1D98" w:rsidRDefault="000D67AB" w:rsidP="00426910">
            <w:pPr>
              <w:spacing w:before="120"/>
              <w:ind w:hanging="743"/>
              <w:jc w:val="both"/>
              <w:rPr>
                <w:rFonts w:ascii="Times New Roman" w:hAnsi="Times New Roman"/>
                <w:color w:val="000000"/>
                <w:sz w:val="28"/>
                <w:szCs w:val="28"/>
              </w:rPr>
            </w:pPr>
          </w:p>
          <w:p w14:paraId="503B0565" w14:textId="77777777" w:rsidR="000D67AB" w:rsidRPr="004A1D98" w:rsidRDefault="000D67AB" w:rsidP="00426910">
            <w:pPr>
              <w:ind w:hanging="33"/>
              <w:jc w:val="both"/>
              <w:rPr>
                <w:rFonts w:ascii="Times New Roman" w:hAnsi="Times New Roman"/>
                <w:sz w:val="28"/>
                <w:szCs w:val="28"/>
              </w:rPr>
            </w:pPr>
            <w:r w:rsidRPr="004A1D98">
              <w:rPr>
                <w:rFonts w:ascii="Times New Roman" w:hAnsi="Times New Roman"/>
                <w:sz w:val="28"/>
                <w:szCs w:val="28"/>
              </w:rPr>
              <w:t xml:space="preserve">A5. VIDES INTEGRĀCIJAS UN ATJAUNOŠANAS PLĀNS </w:t>
            </w:r>
          </w:p>
          <w:p w14:paraId="034ACBD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i/>
                <w:color w:val="000000"/>
                <w:sz w:val="28"/>
                <w:szCs w:val="28"/>
              </w:rPr>
              <w:t>Šo kritēriju attiecina, kad ir stādīšanai piemērota zeme, un tas varētu ietvert ūdens novades dabiskās infrastruktūras apstādīšanu, piemēram, aizturēšanas ūdenstilpes, dīķus vai mākslīgos mitrājus.</w:t>
            </w:r>
            <w:r w:rsidRPr="004A1D98">
              <w:rPr>
                <w:rFonts w:ascii="Times New Roman" w:hAnsi="Times New Roman"/>
                <w:color w:val="000000"/>
                <w:sz w:val="28"/>
                <w:szCs w:val="28"/>
              </w:rPr>
              <w:t xml:space="preserve"> </w:t>
            </w:r>
          </w:p>
          <w:p w14:paraId="67798F0D"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Vides integrācijas un atjaunošanas plāns jāiesniedz kā ceļa tehniskā projekta daļa, kurā ietverta šāda informācija: </w:t>
            </w:r>
          </w:p>
          <w:p w14:paraId="3D71D12C" w14:textId="77777777" w:rsidR="000D67AB" w:rsidRPr="004A1D98" w:rsidRDefault="000D67AB" w:rsidP="00426910">
            <w:pPr>
              <w:spacing w:before="120"/>
              <w:ind w:hanging="709"/>
              <w:jc w:val="both"/>
              <w:rPr>
                <w:rFonts w:ascii="Times New Roman" w:hAnsi="Times New Roman"/>
                <w:color w:val="000000"/>
                <w:sz w:val="28"/>
                <w:szCs w:val="28"/>
              </w:rPr>
            </w:pPr>
            <w:r w:rsidRPr="004A1D98">
              <w:rPr>
                <w:rFonts w:ascii="Times New Roman" w:hAnsi="Times New Roman"/>
                <w:color w:val="000000"/>
                <w:sz w:val="28"/>
                <w:szCs w:val="28"/>
              </w:rPr>
              <w:t xml:space="preserve">A.5.1. teritorijas karte, kurā norādīti visu augu sugu šķirņu veidi, atrašanās vieta un daudzums/blīvums (jāiekļauj tikai neinvazīvās un vietējās augu sugas); </w:t>
            </w:r>
          </w:p>
          <w:p w14:paraId="52726198" w14:textId="77777777" w:rsidR="000D67AB" w:rsidRPr="004A1D98" w:rsidRDefault="000D67AB" w:rsidP="00426910">
            <w:pPr>
              <w:spacing w:before="120"/>
              <w:ind w:hanging="709"/>
              <w:jc w:val="both"/>
              <w:rPr>
                <w:rFonts w:ascii="Times New Roman" w:hAnsi="Times New Roman"/>
                <w:color w:val="000000"/>
                <w:sz w:val="28"/>
                <w:szCs w:val="28"/>
              </w:rPr>
            </w:pPr>
            <w:r w:rsidRPr="004A1D98">
              <w:rPr>
                <w:rFonts w:ascii="Times New Roman" w:hAnsi="Times New Roman"/>
                <w:color w:val="000000"/>
                <w:sz w:val="28"/>
                <w:szCs w:val="28"/>
              </w:rPr>
              <w:t xml:space="preserve">A.5.2. augu sugu šķirņu atlases procedūras apraksts un īss pamatojums par katru šķirni, kāpēc tā ir piemērota teritorijas īpašajiem vides apstākļiem; </w:t>
            </w:r>
          </w:p>
          <w:p w14:paraId="0916F18B" w14:textId="77777777" w:rsidR="000D67AB" w:rsidRPr="004A1D98" w:rsidRDefault="000D67AB" w:rsidP="00426910">
            <w:pPr>
              <w:spacing w:before="120"/>
              <w:ind w:hanging="743"/>
              <w:jc w:val="both"/>
              <w:rPr>
                <w:rFonts w:ascii="Times New Roman" w:hAnsi="Times New Roman"/>
                <w:color w:val="000000"/>
                <w:sz w:val="28"/>
                <w:szCs w:val="28"/>
              </w:rPr>
            </w:pPr>
            <w:r w:rsidRPr="004A1D98">
              <w:rPr>
                <w:rFonts w:ascii="Times New Roman" w:hAnsi="Times New Roman"/>
                <w:color w:val="000000"/>
                <w:sz w:val="28"/>
                <w:szCs w:val="28"/>
              </w:rPr>
              <w:t xml:space="preserve">A.5.3. prasības dobei; izmantotā augsne/komposts/augsnes substrāts un to dziļums, sākotnējā mēslošana, mulčas izmantošana, zāliena sēšana; </w:t>
            </w:r>
          </w:p>
          <w:p w14:paraId="503D157F" w14:textId="77777777" w:rsidR="000D67AB" w:rsidRPr="004A1D98" w:rsidRDefault="000D67AB" w:rsidP="00426910">
            <w:pPr>
              <w:spacing w:before="120"/>
              <w:ind w:hanging="743"/>
              <w:jc w:val="both"/>
              <w:rPr>
                <w:rFonts w:ascii="Times New Roman" w:hAnsi="Times New Roman"/>
                <w:color w:val="000000"/>
                <w:sz w:val="28"/>
                <w:szCs w:val="28"/>
              </w:rPr>
            </w:pPr>
            <w:r w:rsidRPr="004A1D98">
              <w:rPr>
                <w:rFonts w:ascii="Times New Roman" w:hAnsi="Times New Roman"/>
                <w:color w:val="000000"/>
                <w:sz w:val="28"/>
                <w:szCs w:val="28"/>
              </w:rPr>
              <w:t xml:space="preserve">A.5.4. plānotie pasākumi, lai izvairītos no augsnes erozijas pirms un pēc augu segas izveides; </w:t>
            </w:r>
          </w:p>
          <w:p w14:paraId="526E8539" w14:textId="77777777" w:rsidR="000D67AB" w:rsidRPr="004A1D98" w:rsidRDefault="000D67AB" w:rsidP="00426910">
            <w:pPr>
              <w:spacing w:before="120"/>
              <w:ind w:hanging="709"/>
              <w:jc w:val="both"/>
              <w:rPr>
                <w:rFonts w:ascii="Times New Roman" w:hAnsi="Times New Roman"/>
                <w:color w:val="000000"/>
                <w:sz w:val="28"/>
                <w:szCs w:val="28"/>
              </w:rPr>
            </w:pPr>
            <w:r w:rsidRPr="004A1D98">
              <w:rPr>
                <w:rFonts w:ascii="Times New Roman" w:hAnsi="Times New Roman"/>
                <w:color w:val="000000"/>
                <w:sz w:val="28"/>
                <w:szCs w:val="28"/>
              </w:rPr>
              <w:t xml:space="preserve">A.5.5. paredzamās prasības apzaļumoto teritoriju apsaimniekošanai. Ietverta apūdeņošana, zāles pļaušana, apcirpšana vai augu aizvietošana. </w:t>
            </w:r>
          </w:p>
          <w:p w14:paraId="74F9BE9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Plānam jābūt veidotam atbilstoši labas prakses vadlīnijām. </w:t>
            </w:r>
          </w:p>
          <w:p w14:paraId="2C125DE2"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A6. TROKŠŅA EMISIJAS MONITORINGS BŪVNIECĪBAS UN UZTURĒŠANAS LAIKĀ </w:t>
            </w:r>
          </w:p>
          <w:p w14:paraId="57A880A4"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Ja noteikts plānošanas atļaujā vai vietējos/nacionālajos tiesību aktos, vai to konkrēti pieprasījis pasūtītājs </w:t>
            </w:r>
          </w:p>
          <w:p w14:paraId="765BEFBD"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Projektētāji vai PB piegādātājs, vai PBE piegādātājs iesniedz sīkas ziņas par to, kā uzstādāma pagaidu (vai pastāvīgas, ja tas ir gala tehniskais projekts) trokšņa aizsargbarjeras, lai noteiktajā uztveres zonā samazinātu trokšņa līmeni līdz mazāk nekā X dB(A) ar vidējo L</w:t>
            </w:r>
            <w:r w:rsidRPr="004A1D98">
              <w:rPr>
                <w:rFonts w:ascii="Times New Roman" w:hAnsi="Times New Roman"/>
                <w:color w:val="000000"/>
                <w:sz w:val="28"/>
                <w:szCs w:val="28"/>
                <w:vertAlign w:val="subscript"/>
              </w:rPr>
              <w:t>dvn</w:t>
            </w:r>
            <w:r w:rsidRPr="004A1D98">
              <w:rPr>
                <w:rFonts w:ascii="Times New Roman" w:hAnsi="Times New Roman"/>
                <w:color w:val="000000"/>
                <w:sz w:val="28"/>
                <w:szCs w:val="28"/>
              </w:rPr>
              <w:t xml:space="preserve"> un līdz Y dB(A) ar vidējo L</w:t>
            </w:r>
            <w:r w:rsidRPr="004A1D98">
              <w:rPr>
                <w:rFonts w:ascii="Times New Roman" w:hAnsi="Times New Roman"/>
                <w:color w:val="000000"/>
                <w:sz w:val="28"/>
                <w:szCs w:val="28"/>
                <w:vertAlign w:val="subscript"/>
              </w:rPr>
              <w:t>nakts</w:t>
            </w:r>
            <w:r w:rsidRPr="004A1D98">
              <w:rPr>
                <w:rFonts w:ascii="Times New Roman" w:hAnsi="Times New Roman"/>
                <w:color w:val="000000"/>
                <w:sz w:val="28"/>
                <w:szCs w:val="28"/>
              </w:rPr>
              <w:t xml:space="preserve">  vērtību, kā tas noteikts </w:t>
            </w:r>
            <w:r w:rsidRPr="004A1D98">
              <w:rPr>
                <w:rFonts w:ascii="Times New Roman" w:hAnsi="Times New Roman"/>
                <w:bCs/>
                <w:color w:val="000000"/>
                <w:sz w:val="28"/>
                <w:szCs w:val="28"/>
                <w:lang w:eastAsia="en-GB"/>
              </w:rPr>
              <w:t xml:space="preserve">Ministru kabineta </w:t>
            </w:r>
            <w:r w:rsidRPr="004A1D98">
              <w:rPr>
                <w:rFonts w:ascii="Times New Roman" w:hAnsi="Times New Roman"/>
                <w:color w:val="000000"/>
                <w:sz w:val="28"/>
                <w:szCs w:val="28"/>
                <w:lang w:eastAsia="en-GB"/>
              </w:rPr>
              <w:t xml:space="preserve">2014.gada 7.janvāra </w:t>
            </w:r>
            <w:r w:rsidRPr="004A1D98">
              <w:rPr>
                <w:rFonts w:ascii="Times New Roman" w:hAnsi="Times New Roman"/>
                <w:bCs/>
                <w:color w:val="000000"/>
                <w:sz w:val="28"/>
                <w:szCs w:val="28"/>
                <w:lang w:eastAsia="en-GB"/>
              </w:rPr>
              <w:t>noteikumu Nr.16</w:t>
            </w:r>
            <w:r w:rsidRPr="004A1D98">
              <w:rPr>
                <w:rFonts w:ascii="Times New Roman" w:hAnsi="Times New Roman"/>
                <w:color w:val="000000"/>
                <w:sz w:val="28"/>
                <w:szCs w:val="28"/>
                <w:lang w:eastAsia="en-GB"/>
              </w:rPr>
              <w:t xml:space="preserve">  "</w:t>
            </w:r>
            <w:r w:rsidRPr="004A1D98">
              <w:rPr>
                <w:rFonts w:ascii="Times New Roman" w:hAnsi="Times New Roman"/>
                <w:bCs/>
                <w:color w:val="000000"/>
                <w:sz w:val="28"/>
                <w:szCs w:val="28"/>
                <w:lang w:eastAsia="en-GB"/>
              </w:rPr>
              <w:t xml:space="preserve">Trokšņa novērtēšanas un pārvaldības kārtība" </w:t>
            </w:r>
            <w:r w:rsidRPr="004A1D98">
              <w:rPr>
                <w:rFonts w:ascii="Times New Roman" w:hAnsi="Times New Roman"/>
                <w:color w:val="000000"/>
                <w:sz w:val="28"/>
                <w:szCs w:val="28"/>
                <w:lang w:eastAsia="en-GB"/>
              </w:rPr>
              <w:t>I pielikumā.</w:t>
            </w:r>
          </w:p>
          <w:p w14:paraId="40090F8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A7. MINIMĀLĀS PRASĪBAS ZEMA TROKŠŅA SEGUMA TEHNISKAJAM PROJEKTAM </w:t>
            </w:r>
          </w:p>
          <w:p w14:paraId="36A5C792"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Ja tas noteikts normatīvajā regulējumā, ka  zems trokšņu līmenis ir uzskatāms par prioritāru šim ceļam. </w:t>
            </w:r>
          </w:p>
          <w:p w14:paraId="10E60CDA" w14:textId="77777777" w:rsidR="000D67AB" w:rsidRPr="004A1D98" w:rsidRDefault="000D67AB" w:rsidP="00426910">
            <w:pPr>
              <w:jc w:val="both"/>
              <w:rPr>
                <w:rFonts w:ascii="Times New Roman" w:hAnsi="Times New Roman"/>
                <w:color w:val="000000"/>
                <w:sz w:val="28"/>
                <w:szCs w:val="28"/>
              </w:rPr>
            </w:pPr>
            <w:r w:rsidRPr="004A1D98">
              <w:rPr>
                <w:rFonts w:ascii="Times New Roman" w:hAnsi="Times New Roman"/>
                <w:color w:val="000000"/>
                <w:sz w:val="28"/>
                <w:szCs w:val="28"/>
              </w:rPr>
              <w:t xml:space="preserve">Projektētāji vai PB piegādātājs vai PBE piegādātājs apliecina, ka piedāvātais zema trokšņa segums atbilst šādiem CPX (metode mērīšanai virsmu tiešā tuvumā) trokšņa emisijas līmeņiem, kas saskaņā ar piemērojamiem standartiem noteikti kā ceļa posmā maksimālā atļautā ātruma funkcija: </w:t>
            </w:r>
          </w:p>
          <w:p w14:paraId="6487AE62" w14:textId="77777777" w:rsidR="000D67AB" w:rsidRPr="004A1D98" w:rsidRDefault="000D67AB" w:rsidP="00AB1BBF">
            <w:pPr>
              <w:numPr>
                <w:ilvl w:val="0"/>
                <w:numId w:val="51"/>
              </w:numPr>
              <w:spacing w:before="120"/>
              <w:ind w:left="0"/>
              <w:jc w:val="both"/>
              <w:rPr>
                <w:rFonts w:ascii="Times New Roman" w:hAnsi="Times New Roman"/>
                <w:color w:val="000000"/>
                <w:sz w:val="28"/>
                <w:szCs w:val="28"/>
              </w:rPr>
            </w:pPr>
            <w:r w:rsidRPr="004A1D98">
              <w:rPr>
                <w:rFonts w:ascii="Times New Roman" w:hAnsi="Times New Roman"/>
                <w:color w:val="000000"/>
                <w:sz w:val="28"/>
                <w:szCs w:val="28"/>
              </w:rPr>
              <w:t xml:space="preserve">90 dB(A), ja ātrums ir 50 km/h, un/vai </w:t>
            </w:r>
          </w:p>
          <w:p w14:paraId="4439BF5E" w14:textId="77777777" w:rsidR="000D67AB" w:rsidRPr="004A1D98" w:rsidRDefault="000D67AB" w:rsidP="00AB1BBF">
            <w:pPr>
              <w:numPr>
                <w:ilvl w:val="0"/>
                <w:numId w:val="51"/>
              </w:numPr>
              <w:spacing w:before="120"/>
              <w:ind w:left="0"/>
              <w:jc w:val="both"/>
              <w:rPr>
                <w:rFonts w:ascii="Times New Roman" w:hAnsi="Times New Roman"/>
                <w:color w:val="000000"/>
                <w:sz w:val="28"/>
                <w:szCs w:val="28"/>
              </w:rPr>
            </w:pPr>
            <w:r w:rsidRPr="004A1D98">
              <w:rPr>
                <w:rFonts w:ascii="Times New Roman" w:hAnsi="Times New Roman"/>
                <w:color w:val="000000"/>
                <w:sz w:val="28"/>
                <w:szCs w:val="28"/>
              </w:rPr>
              <w:t xml:space="preserve">95 dB(A), ja ātrums ir 70 km/h, un/vai </w:t>
            </w:r>
          </w:p>
          <w:p w14:paraId="766F43D9" w14:textId="77777777" w:rsidR="000D67AB" w:rsidRPr="004A1D98" w:rsidRDefault="000D67AB" w:rsidP="00AB1BBF">
            <w:pPr>
              <w:numPr>
                <w:ilvl w:val="0"/>
                <w:numId w:val="51"/>
              </w:numPr>
              <w:spacing w:before="120"/>
              <w:ind w:left="0"/>
              <w:jc w:val="both"/>
              <w:rPr>
                <w:rFonts w:ascii="Times New Roman" w:hAnsi="Times New Roman"/>
                <w:color w:val="000000"/>
                <w:sz w:val="28"/>
                <w:szCs w:val="28"/>
              </w:rPr>
            </w:pPr>
            <w:r w:rsidRPr="004A1D98">
              <w:rPr>
                <w:rFonts w:ascii="Times New Roman" w:hAnsi="Times New Roman"/>
                <w:color w:val="000000"/>
                <w:sz w:val="28"/>
                <w:szCs w:val="28"/>
              </w:rPr>
              <w:t xml:space="preserve">98 dB(A), ja ātrums ir 90 km/h. </w:t>
            </w:r>
          </w:p>
          <w:p w14:paraId="258ADFB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Tehniskajā projektā un pieņēmumos izmantotajiem testēšanas datiem jābūt iegūtiem, izmantojot: CPX testēšanas metodi, transportlīdzekļus un/vai treilerus, kuriem izmantota radiālā riepa ar tērauda jostu un izmēra kodu P225/60 R16 (ASTM F2493-14), ar protektoru ne mazāku par 5 mm. </w:t>
            </w:r>
          </w:p>
          <w:p w14:paraId="5BB4F09A"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Testēšanas dati jākoriģē atbilstīgi 20 °C gaisa temperatūrai. Testēšanas datu nenoteiktības analīze jāizvērtē atbilstoši "Norādījumiem par nenoteiktības izteikšanu mērījumos" (ISO/IEC norādījumi Nr. 98-3:2008), un testēšanā jāuzrāda, ka rezultāti, arī to nenoteiktība, nepārsniedz iepriekš minētās vai tehniskajā projektā noteiktās (ja zemākas) vērtības vairāk par 1 dB(A). </w:t>
            </w:r>
          </w:p>
          <w:p w14:paraId="477F399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A8. PRASĪBAS CEĻA APGAISMOJUMA RAKSTURLIELUMIEM </w:t>
            </w:r>
          </w:p>
          <w:p w14:paraId="76D0E9B5"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Attiecībā uz šo kritēriju lūdzam skatīt ZPI kritērijus ielu apgaismojumam un satiksmes signāliem. </w:t>
            </w:r>
          </w:p>
        </w:tc>
      </w:tr>
      <w:tr w:rsidR="000D67AB" w:rsidRPr="004A1D98" w14:paraId="2AE359F6" w14:textId="77777777" w:rsidTr="000A7815">
        <w:trPr>
          <w:trHeight w:val="2541"/>
        </w:trPr>
        <w:tc>
          <w:tcPr>
            <w:tcW w:w="2405" w:type="dxa"/>
            <w:vMerge/>
          </w:tcPr>
          <w:p w14:paraId="4B3113C0" w14:textId="77777777" w:rsidR="000D67AB" w:rsidRPr="004A1D98" w:rsidRDefault="000D67AB" w:rsidP="00426910">
            <w:pPr>
              <w:spacing w:before="120"/>
              <w:jc w:val="both"/>
              <w:rPr>
                <w:rFonts w:ascii="Times New Roman" w:hAnsi="Times New Roman"/>
                <w:color w:val="000000"/>
                <w:sz w:val="28"/>
                <w:szCs w:val="28"/>
              </w:rPr>
            </w:pPr>
          </w:p>
        </w:tc>
        <w:tc>
          <w:tcPr>
            <w:tcW w:w="6095" w:type="dxa"/>
          </w:tcPr>
          <w:p w14:paraId="34CF9CB2"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A9. PRASĪBAS CEĻA APZĪMĒJUMU RAKSTURLIELUMIEM </w:t>
            </w:r>
          </w:p>
          <w:p w14:paraId="1BBB1A61"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Attiecībā uz šo kritēriju, lūdzam skatīt ES ZPI kritērijus krāsām, lakām un ceļa apzīmējumiem. kas drīzumā tiks publicēti: Eiropas Komisijas tīmekļvietnē.</w:t>
            </w:r>
          </w:p>
          <w:p w14:paraId="73EFBA2D"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A10. SATIKSMES SASTRĒGUMU MAZINĀŠANAS PLĀNS </w:t>
            </w:r>
          </w:p>
          <w:p w14:paraId="4EC6405D"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Ceļa būvniecības un uzturēšanas pasākumos īstenojamais satiksmes sastrēgumu mazināšanas plāns jāiesniedz kopā ar ceļa tehnisko projektu, un tajā jāietver: </w:t>
            </w:r>
          </w:p>
          <w:p w14:paraId="26A01EE8" w14:textId="77777777" w:rsidR="000D67AB" w:rsidRPr="004A1D98" w:rsidRDefault="000D67AB" w:rsidP="00D20B8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A.10.1. ceļa kalpošanas laikā paredzamo būvniecības un/vai uzturēšanas darbu grafiks; </w:t>
            </w:r>
          </w:p>
          <w:p w14:paraId="67CE6C11" w14:textId="77777777" w:rsidR="000D67AB" w:rsidRPr="004A1D98" w:rsidRDefault="000D67AB" w:rsidP="00D20B8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A.10.2. alternatīvi ceļi (ceļu remonta laikā) satiksmes novirzīšanai šādu darbību laikā, ja tas nepieciešams. </w:t>
            </w:r>
          </w:p>
          <w:p w14:paraId="7514B472" w14:textId="77777777" w:rsidR="000D67AB" w:rsidRPr="004A1D98" w:rsidRDefault="000D67AB" w:rsidP="00426910">
            <w:pPr>
              <w:spacing w:before="120"/>
              <w:ind w:hanging="34"/>
              <w:jc w:val="both"/>
              <w:rPr>
                <w:rFonts w:ascii="Times New Roman" w:hAnsi="Times New Roman"/>
                <w:color w:val="000000"/>
                <w:sz w:val="28"/>
                <w:szCs w:val="28"/>
              </w:rPr>
            </w:pPr>
            <w:r w:rsidRPr="004A1D98">
              <w:rPr>
                <w:rFonts w:ascii="Times New Roman" w:hAnsi="Times New Roman"/>
                <w:color w:val="000000"/>
                <w:sz w:val="28"/>
                <w:szCs w:val="28"/>
              </w:rPr>
              <w:t xml:space="preserve">Ja projektētāji vai PB piegādātājs vai PBE piegādātājs aptver sastrēgumu risinājumus ceļa lietošanas posmā un jebkādas ceļa uzturēšanas darbības, kurās plānots izmantot maiņvirziena braukšanas joslas vai nostiprinātas apstāšanās nomales joslas vajadzībām, viņiem ir jāiesniedz ACI analīze, kurā iekļautas lietotājam radītās ārējās izmaksas sastrēguma dēļ. </w:t>
            </w:r>
          </w:p>
          <w:p w14:paraId="365B6550" w14:textId="77777777" w:rsidR="000D67AB" w:rsidRPr="004A1D98" w:rsidRDefault="000D67AB" w:rsidP="00426910">
            <w:pPr>
              <w:spacing w:before="120"/>
              <w:ind w:hanging="34"/>
              <w:jc w:val="both"/>
              <w:rPr>
                <w:rFonts w:ascii="Times New Roman" w:hAnsi="Times New Roman"/>
                <w:color w:val="000000"/>
                <w:sz w:val="28"/>
                <w:szCs w:val="28"/>
              </w:rPr>
            </w:pPr>
            <w:r w:rsidRPr="004A1D98">
              <w:rPr>
                <w:rFonts w:ascii="Times New Roman" w:hAnsi="Times New Roman"/>
                <w:color w:val="000000"/>
                <w:sz w:val="28"/>
                <w:szCs w:val="28"/>
              </w:rPr>
              <w:t xml:space="preserve">Ceļi, kur satiksmes pārvaldībai ir ieviesta ITS, ir jāaprīko ar nepieciešamajām ITS atbalsta ierīcēm: kamerām, luksoforiem, informācijas ekrāniem un dažādām ceļazīmēm. </w:t>
            </w:r>
          </w:p>
          <w:p w14:paraId="6B4A771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A11. PRASĪBAS CEĻA SEGUMA ILGIZTURĪBAS RAKSTURLIELUMIEM </w:t>
            </w:r>
          </w:p>
          <w:p w14:paraId="22C8979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Pasūtītājs nosaka ceļa seguma minimālo kalpošanas laiku, neattiecinot to uz seguma virskārtu, bet tam nevajadzētu būt īsākam par: </w:t>
            </w:r>
          </w:p>
          <w:p w14:paraId="046B24E4" w14:textId="77777777" w:rsidR="000D67AB" w:rsidRPr="004A1D98" w:rsidRDefault="000D67AB" w:rsidP="00D20B8B">
            <w:pPr>
              <w:spacing w:before="120"/>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A.11.1. 15 gadiem saistkārtai, ar iespēju to samazināt ne mazāk kā līdz desmit gadiem īpašu apstākļu gadījumā (piemēram, nelabvēlīgs klimats, kam jābūt precizētam uzaicinājumā iesniegt piedāvājumus; </w:t>
            </w:r>
          </w:p>
          <w:p w14:paraId="1D72ED70" w14:textId="77777777" w:rsidR="000D67AB" w:rsidRPr="004A1D98" w:rsidRDefault="000D67AB" w:rsidP="00D20B8B">
            <w:pPr>
              <w:spacing w:before="120"/>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A.11.2. 20 gadiem elastīgu/pusstingu segumu pamatkārtai un stingu segumu cementbetona plātnēm; </w:t>
            </w:r>
          </w:p>
          <w:p w14:paraId="5D0B946A" w14:textId="77777777" w:rsidR="000D67AB" w:rsidRPr="004A1D98" w:rsidRDefault="000D67AB" w:rsidP="00426910">
            <w:pPr>
              <w:spacing w:before="120"/>
              <w:contextualSpacing/>
              <w:jc w:val="both"/>
              <w:rPr>
                <w:rFonts w:ascii="Times New Roman" w:hAnsi="Times New Roman"/>
                <w:color w:val="000000"/>
                <w:sz w:val="28"/>
                <w:szCs w:val="28"/>
              </w:rPr>
            </w:pPr>
            <w:r w:rsidRPr="004A1D98">
              <w:rPr>
                <w:rFonts w:ascii="Times New Roman" w:hAnsi="Times New Roman"/>
                <w:color w:val="000000"/>
                <w:sz w:val="28"/>
                <w:szCs w:val="28"/>
              </w:rPr>
              <w:t>A.11.3. 40 gadiem pamata apakškārtai.</w:t>
            </w:r>
          </w:p>
          <w:p w14:paraId="20497F3A" w14:textId="77777777" w:rsidR="000D67AB" w:rsidRPr="004A1D98" w:rsidRDefault="000D67AB" w:rsidP="00426910">
            <w:pPr>
              <w:spacing w:before="120"/>
              <w:contextualSpacing/>
              <w:jc w:val="both"/>
              <w:rPr>
                <w:rFonts w:ascii="Times New Roman" w:hAnsi="Times New Roman"/>
                <w:color w:val="000000"/>
                <w:sz w:val="28"/>
                <w:szCs w:val="28"/>
              </w:rPr>
            </w:pPr>
          </w:p>
          <w:p w14:paraId="3EA289F2"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Papildus pasūtītājs var norādīt minimālo kalpošanas laiku seguma virskārtai, ja īpašie ceļa seguma apstākļi pieļauj sliekšņa noteikšanu. </w:t>
            </w:r>
          </w:p>
          <w:p w14:paraId="7C92D36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 CEĻA UZTURĒŠANAS UN ATJAUNOŠANAS PLĀNS </w:t>
            </w:r>
          </w:p>
          <w:p w14:paraId="27C4924C"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color w:val="000000"/>
                <w:sz w:val="28"/>
                <w:szCs w:val="28"/>
              </w:rPr>
              <w:t>A12.1.</w:t>
            </w:r>
            <w:r w:rsidRPr="004A1D98">
              <w:rPr>
                <w:rFonts w:ascii="Times New Roman" w:hAnsi="Times New Roman"/>
                <w:b/>
                <w:color w:val="000000"/>
                <w:sz w:val="28"/>
                <w:szCs w:val="28"/>
              </w:rPr>
              <w:t xml:space="preserve"> 1. variants</w:t>
            </w:r>
          </w:p>
          <w:p w14:paraId="3B2D47E6" w14:textId="77777777" w:rsidR="000D67AB" w:rsidRPr="004A1D98" w:rsidRDefault="000D67AB" w:rsidP="00426910">
            <w:pPr>
              <w:spacing w:before="120"/>
              <w:ind w:hanging="601"/>
              <w:jc w:val="both"/>
              <w:rPr>
                <w:rFonts w:ascii="Times New Roman" w:hAnsi="Times New Roman"/>
                <w:i/>
                <w:color w:val="000000"/>
                <w:sz w:val="28"/>
                <w:szCs w:val="28"/>
              </w:rPr>
            </w:pPr>
            <w:r w:rsidRPr="004A1D98">
              <w:rPr>
                <w:rFonts w:ascii="Times New Roman" w:hAnsi="Times New Roman"/>
                <w:i/>
                <w:color w:val="000000"/>
                <w:sz w:val="28"/>
                <w:szCs w:val="28"/>
              </w:rPr>
              <w:t xml:space="preserve">          Šis variants attiecas uz PBE  līgumiem </w:t>
            </w:r>
          </w:p>
          <w:p w14:paraId="532C17A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PBE piegādātājs ceļa uzturēšanas un atjaunošanas plānu pievieno detalizētam tehniskajam projektam. Katram ceļa posmam, kam raksturīgas īpašas būvniecības metodes, materiāli, vides apstākļi, meteoroloģiskie apstākļi un lietojums, plānā vismaz ir : </w:t>
            </w:r>
          </w:p>
          <w:p w14:paraId="5D950882" w14:textId="77777777" w:rsidR="000D67AB" w:rsidRPr="004A1D98" w:rsidRDefault="000D67AB" w:rsidP="00967686">
            <w:pPr>
              <w:spacing w:before="120"/>
              <w:ind w:firstLine="32"/>
              <w:jc w:val="both"/>
              <w:rPr>
                <w:rFonts w:ascii="Times New Roman" w:hAnsi="Times New Roman"/>
                <w:color w:val="000000"/>
                <w:sz w:val="28"/>
                <w:szCs w:val="28"/>
              </w:rPr>
            </w:pPr>
            <w:r w:rsidRPr="004A1D98">
              <w:rPr>
                <w:rFonts w:ascii="Times New Roman" w:hAnsi="Times New Roman"/>
                <w:color w:val="000000"/>
                <w:sz w:val="28"/>
                <w:szCs w:val="28"/>
              </w:rPr>
              <w:t xml:space="preserve">A.12.1.1. jāaptver ikdienas, preventīvās un atjaunošanas darbības; </w:t>
            </w:r>
          </w:p>
          <w:p w14:paraId="39745A10" w14:textId="77777777" w:rsidR="000D67AB" w:rsidRPr="004A1D98" w:rsidRDefault="000D67AB" w:rsidP="00D21B99">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A.12.1.2. jāuzlabo uzturēšanas darbu izdevumu un ieguvumu attiecība; </w:t>
            </w:r>
          </w:p>
          <w:p w14:paraId="3FAFF4CD" w14:textId="77777777" w:rsidR="000D67AB" w:rsidRPr="004A1D98" w:rsidRDefault="000D67AB" w:rsidP="00967686">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A.12.1.3. jāuzrāda katras ikdienas, preventīvās un atjaunošanas darbības/stratēģijas ietekmes uz vidi raksturlielumi, kas ir iekļauti OP (attiecīgi saskaņā ar B14kritēriju); </w:t>
            </w:r>
          </w:p>
          <w:p w14:paraId="5C4F1FE8" w14:textId="77777777" w:rsidR="000D67AB" w:rsidRPr="004A1D98" w:rsidRDefault="000D67AB" w:rsidP="00967686">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A.12.1.4.  jāiekļauj katras darbības izmaksas, paredzamie laika intervāli starp ceļa uzturēšanas pasākumiem, satiksmes sastrēgumu mazināšanas plāns (saskaņā ar B10 kritēriju) un būvniecības, demontāžas atkritumu apsaimniekošanas plāns (saskaņā ar E2 kritēriju). </w:t>
            </w:r>
          </w:p>
          <w:p w14:paraId="6287F36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A.12.2. </w:t>
            </w:r>
            <w:r w:rsidRPr="004A1D98">
              <w:rPr>
                <w:rFonts w:ascii="Times New Roman" w:hAnsi="Times New Roman"/>
                <w:b/>
                <w:color w:val="000000"/>
                <w:sz w:val="28"/>
                <w:szCs w:val="28"/>
              </w:rPr>
              <w:t>2. variants</w:t>
            </w:r>
            <w:r w:rsidRPr="004A1D98">
              <w:rPr>
                <w:rFonts w:ascii="Times New Roman" w:hAnsi="Times New Roman"/>
                <w:color w:val="000000"/>
                <w:sz w:val="28"/>
                <w:szCs w:val="28"/>
              </w:rPr>
              <w:t xml:space="preserve"> </w:t>
            </w:r>
          </w:p>
          <w:p w14:paraId="14919462"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Šis variants attiecas uz atsevišķiem projektēšanas un būvdarbu  līgumiem jeb PB līgumiem. </w:t>
            </w:r>
          </w:p>
          <w:p w14:paraId="2FF61E8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Projektētāji vai PB piegādātājs detalizētā tehniskajā projektā ietver vispārēju uzturēšanas un atjaunošanas plānu. Par katru ceļa posmu, kam raksturīgas īpašas būvniecības metodes, materiāli, vides apstākļi, meteoroloģiskie apstākļi un lietojums, vispārējā plānā jāiekļauj vismaz: </w:t>
            </w:r>
          </w:p>
          <w:p w14:paraId="0FFE4AAF" w14:textId="77777777" w:rsidR="000D67AB" w:rsidRPr="004A1D98" w:rsidRDefault="000D67AB" w:rsidP="00D20B8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A.12.2.1. ikdienas, preventīvo un atjaunošanas darbību ietekmes uz vidi raksturlielumi (attiecīgi saskaņā ar OP B14 kritēriju); </w:t>
            </w:r>
          </w:p>
          <w:p w14:paraId="2983D80B" w14:textId="77777777" w:rsidR="000D67AB" w:rsidRPr="004A1D98" w:rsidRDefault="000D67AB" w:rsidP="00D20B8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A.12.2.2. visu ikdienas, preventīvo un atjaunošanas darbību vidējie intervāli (ja tos nav noteikusi līgumslēdzēja iestāde); </w:t>
            </w:r>
          </w:p>
          <w:p w14:paraId="4203E7E0" w14:textId="77777777" w:rsidR="000D67AB" w:rsidRPr="004A1D98" w:rsidRDefault="000D67AB" w:rsidP="00D20B8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A.12.2.3. katrai darbībai satiksmes sastrēgumu  mazināšanas plāns (saskaņā ar B10 kritēriju) un nojaukšanas atkritumu apsaimniekošanas plāns (saskaņā ar E2 kritēriju). </w:t>
            </w:r>
          </w:p>
        </w:tc>
      </w:tr>
      <w:tr w:rsidR="000D67AB" w:rsidRPr="004A1D98" w14:paraId="0C2C9E32" w14:textId="77777777" w:rsidTr="000A7815">
        <w:trPr>
          <w:trHeight w:val="1550"/>
        </w:trPr>
        <w:tc>
          <w:tcPr>
            <w:tcW w:w="2405" w:type="dxa"/>
          </w:tcPr>
          <w:p w14:paraId="6EFF072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Piedāvājuma izvērtēšanas kritēriji</w:t>
            </w:r>
          </w:p>
        </w:tc>
        <w:tc>
          <w:tcPr>
            <w:tcW w:w="6095" w:type="dxa"/>
          </w:tcPr>
          <w:p w14:paraId="48C3879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A14. CEĻA GALVENO ELEMENTU ACN EFEKTIVITĀTE </w:t>
            </w:r>
          </w:p>
          <w:p w14:paraId="10358CE4"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color w:val="000000"/>
                <w:sz w:val="28"/>
                <w:szCs w:val="28"/>
              </w:rPr>
              <w:t xml:space="preserve"> </w:t>
            </w:r>
            <w:r w:rsidRPr="004A1D98">
              <w:rPr>
                <w:rFonts w:ascii="Times New Roman" w:hAnsi="Times New Roman"/>
                <w:i/>
                <w:color w:val="000000"/>
                <w:sz w:val="28"/>
                <w:szCs w:val="28"/>
              </w:rPr>
              <w:t xml:space="preserve">Šo kritēriju var piemērot tikai tad, ja pretendentiem paredzēts izsniegt references ceļa tāmi (Bill of Quantities), ko ņems par pamatu salīdzināšanai, vai tad, ja iepirkumā salīdzinās dažādu pretendentu iesniegtos projektus. </w:t>
            </w:r>
          </w:p>
          <w:p w14:paraId="716AC2EB"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Iepirkuma procedūras dokumentācijā ievēro papildu tehniskos norādījumus, kas sniegti šī Pielikuma 2.2 punktā -Tehniskie pielikumi A sadaļā (OP variants). </w:t>
            </w:r>
          </w:p>
          <w:p w14:paraId="27C4A523"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Iepirkuma dokumentācijas sagatavošanā palīdz tehniskais vērtētājs, kas specializējas OP un kritiski izvērtē pieteikumus. </w:t>
            </w:r>
          </w:p>
          <w:p w14:paraId="3DFFFB9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Papildu punktus piešķirs, pamatojoties uz galveno ceļa elementu, kas nosaukti A tabulā, zemāko OP rādījumu salīdzinājumā ar references ceļu vai citiem iesniegtiem piedāvājumiem. </w:t>
            </w:r>
          </w:p>
          <w:p w14:paraId="2064B651"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Salīdzināšanas pamatu precīzi norāda Iepirkuma procedūras dokumentācijā.</w:t>
            </w:r>
          </w:p>
          <w:p w14:paraId="52B2F3B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b/>
                <w:i/>
                <w:color w:val="000000"/>
                <w:sz w:val="28"/>
                <w:szCs w:val="28"/>
              </w:rPr>
              <w:t>A tabula</w:t>
            </w:r>
            <w:r w:rsidRPr="004A1D98">
              <w:rPr>
                <w:rFonts w:ascii="Times New Roman" w:hAnsi="Times New Roman"/>
                <w:color w:val="000000"/>
                <w:sz w:val="28"/>
                <w:szCs w:val="28"/>
              </w:rPr>
              <w:t xml:space="preserve">. Vērtējamie ceļa elementi </w:t>
            </w:r>
          </w:p>
          <w:tbl>
            <w:tblPr>
              <w:tblStyle w:val="TableGrid4"/>
              <w:tblW w:w="0" w:type="auto"/>
              <w:tblLayout w:type="fixed"/>
              <w:tblLook w:val="04A0" w:firstRow="1" w:lastRow="0" w:firstColumn="1" w:lastColumn="0" w:noHBand="0" w:noVBand="1"/>
            </w:tblPr>
            <w:tblGrid>
              <w:gridCol w:w="3139"/>
              <w:gridCol w:w="2725"/>
            </w:tblGrid>
            <w:tr w:rsidR="000D67AB" w:rsidRPr="004A1D98" w14:paraId="3CA078DE" w14:textId="77777777" w:rsidTr="000A7815">
              <w:trPr>
                <w:trHeight w:val="660"/>
              </w:trPr>
              <w:tc>
                <w:tcPr>
                  <w:tcW w:w="3139" w:type="dxa"/>
                </w:tcPr>
                <w:p w14:paraId="363C15A9"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 xml:space="preserve">Jauna būvniecība vai būtiska paplašināšana </w:t>
                  </w:r>
                </w:p>
              </w:tc>
              <w:tc>
                <w:tcPr>
                  <w:tcW w:w="2725" w:type="dxa"/>
                </w:tcPr>
                <w:p w14:paraId="3A17C2FF"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Uzturēšana un atjaunošana</w:t>
                  </w:r>
                </w:p>
              </w:tc>
            </w:tr>
            <w:tr w:rsidR="000D67AB" w:rsidRPr="004A1D98" w14:paraId="2A385429" w14:textId="77777777" w:rsidTr="000A7815">
              <w:trPr>
                <w:trHeight w:val="2685"/>
              </w:trPr>
              <w:tc>
                <w:tcPr>
                  <w:tcW w:w="3139" w:type="dxa"/>
                </w:tcPr>
                <w:p w14:paraId="7349BA62"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Zemes pamatne, tostarp zemes darbi un grunts darbi </w:t>
                  </w:r>
                </w:p>
                <w:p w14:paraId="6E80245B"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Pamata apakškārta </w:t>
                  </w:r>
                </w:p>
                <w:p w14:paraId="44FFA07C"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Ceļa pamats, saistkārta un ceļa virsma vai cementbetona plātnes </w:t>
                  </w:r>
                </w:p>
                <w:p w14:paraId="1DBC7E67"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Citi ceļa palīgelementi (pēc izvēles) </w:t>
                  </w:r>
                </w:p>
              </w:tc>
              <w:tc>
                <w:tcPr>
                  <w:tcW w:w="2725" w:type="dxa"/>
                </w:tcPr>
                <w:p w14:paraId="634A0896" w14:textId="77777777" w:rsidR="000D67AB" w:rsidRPr="004A1D98" w:rsidRDefault="000D67AB" w:rsidP="00AB1BBF">
                  <w:pPr>
                    <w:numPr>
                      <w:ilvl w:val="0"/>
                      <w:numId w:val="52"/>
                    </w:numPr>
                    <w:spacing w:before="120"/>
                    <w:ind w:left="0" w:hanging="205"/>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Ceļa pamats, saistkārta un ceļa virsma vai cementbetona plātnes </w:t>
                  </w:r>
                </w:p>
              </w:tc>
            </w:tr>
          </w:tbl>
          <w:p w14:paraId="4E01716D"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Efektivitāti vērtē, veicot ceļa OP novērtējumu saskaņā piemērojamiem standartiem. Iepirkuma procedūras dokumentācijā norāda metodi, kura jāizmanto vērtēšanā (skatīt A pielikumu). </w:t>
            </w:r>
          </w:p>
          <w:p w14:paraId="286935D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Visaugstāk tiks vērtēts pretendents, kas uzrādīs vismazāko OP rādījumu. </w:t>
            </w:r>
          </w:p>
          <w:p w14:paraId="674371BD"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Ja OP analīze tiek veikta pirms būvdarbu veicēja iepirkuma, pretendents sagatavo nodošanas dokumentu, ietverot galvenos pieņēmumus un rezultātus, īpaši attiecībā uz: </w:t>
            </w:r>
          </w:p>
          <w:p w14:paraId="216F4A6F" w14:textId="77777777" w:rsidR="000D67AB" w:rsidRPr="004A1D98" w:rsidRDefault="000D67AB" w:rsidP="00D20B8B">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A.14.1. zemes darbu un grunts darbu risinājumiem; </w:t>
            </w:r>
          </w:p>
          <w:p w14:paraId="458757F2" w14:textId="77777777" w:rsidR="000D67AB" w:rsidRPr="004A1D98" w:rsidRDefault="000D67AB" w:rsidP="009720A8">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A.14.2.  ieteiktajiem materiāliem un izmantojamajām tehnoloģijām, piemēram, WMA (Warm Mix Asphalt</w:t>
            </w:r>
            <w:r w:rsidRPr="004A1D98">
              <w:rPr>
                <w:rFonts w:ascii="Times New Roman" w:hAnsi="Times New Roman"/>
                <w:color w:val="000000"/>
                <w:sz w:val="28"/>
                <w:szCs w:val="28"/>
              </w:rPr>
              <w:t>)</w:t>
            </w:r>
            <w:r w:rsidRPr="004A1D98">
              <w:rPr>
                <w:rFonts w:ascii="Times New Roman" w:hAnsi="Times New Roman"/>
                <w:i/>
                <w:color w:val="000000"/>
                <w:sz w:val="28"/>
                <w:szCs w:val="28"/>
              </w:rPr>
              <w:t>, HWMA (Half Warm Mix Asphalt</w:t>
            </w:r>
            <w:r w:rsidRPr="004A1D98">
              <w:rPr>
                <w:rFonts w:ascii="Times New Roman" w:hAnsi="Times New Roman"/>
                <w:color w:val="000000"/>
                <w:sz w:val="28"/>
                <w:szCs w:val="28"/>
              </w:rPr>
              <w:t>)</w:t>
            </w:r>
            <w:r w:rsidRPr="004A1D98">
              <w:rPr>
                <w:rFonts w:ascii="Times New Roman" w:hAnsi="Times New Roman"/>
                <w:i/>
                <w:color w:val="000000"/>
                <w:sz w:val="28"/>
                <w:szCs w:val="28"/>
              </w:rPr>
              <w:t xml:space="preserve">, CMA (Cold Mix Asphalt) un atkārtoti pārstrādāto saturu un/vai blakusproduktiem; </w:t>
            </w:r>
          </w:p>
          <w:p w14:paraId="7445ADA9" w14:textId="77777777" w:rsidR="000D67AB" w:rsidRPr="004A1D98" w:rsidRDefault="000D67AB" w:rsidP="009720A8">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A.14.3.  CO</w:t>
            </w:r>
            <w:r w:rsidRPr="004A1D98">
              <w:rPr>
                <w:rFonts w:ascii="Times New Roman" w:hAnsi="Times New Roman"/>
                <w:i/>
                <w:color w:val="000000"/>
                <w:sz w:val="28"/>
                <w:szCs w:val="28"/>
                <w:vertAlign w:val="subscript"/>
              </w:rPr>
              <w:t xml:space="preserve">2 </w:t>
            </w:r>
            <w:r w:rsidRPr="004A1D98">
              <w:rPr>
                <w:rFonts w:ascii="Times New Roman" w:hAnsi="Times New Roman"/>
                <w:i/>
                <w:color w:val="000000"/>
                <w:sz w:val="28"/>
                <w:szCs w:val="28"/>
              </w:rPr>
              <w:t>ekvivalentām (CO</w:t>
            </w:r>
            <w:r w:rsidRPr="004A1D98">
              <w:rPr>
                <w:rFonts w:ascii="Times New Roman" w:hAnsi="Times New Roman"/>
                <w:i/>
                <w:color w:val="000000"/>
                <w:sz w:val="28"/>
                <w:szCs w:val="28"/>
                <w:vertAlign w:val="subscript"/>
              </w:rPr>
              <w:t>2</w:t>
            </w:r>
            <w:r w:rsidRPr="004A1D98">
              <w:rPr>
                <w:rFonts w:ascii="Times New Roman" w:hAnsi="Times New Roman"/>
                <w:i/>
                <w:color w:val="000000"/>
                <w:sz w:val="28"/>
                <w:szCs w:val="28"/>
              </w:rPr>
              <w:t xml:space="preserve">e) emisijām uz vienu tonnu materiālu, kas pārvesti no ražošanas vietas uz darbu veikšanas vietu (pamata masas sadalījuma plāns); </w:t>
            </w:r>
          </w:p>
          <w:p w14:paraId="302428ED" w14:textId="77777777" w:rsidR="000D67AB" w:rsidRPr="004A1D98" w:rsidRDefault="000D67AB" w:rsidP="00F8277D">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A.14.4. atkārtoti pārstrādāto, otrreiz izmantoto un izrakto materiālu un būvniecības un nojaukšanas atkritumu procentuālo daudzumu būvlaukumā un ārpus tā; </w:t>
            </w:r>
          </w:p>
          <w:p w14:paraId="7642E1BD"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A.14.5. uzturēšanas pasākumiem un biežumu. </w:t>
            </w:r>
          </w:p>
          <w:p w14:paraId="7EDB011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A15. RECIKLĒTA UN ATKĀRTOTI PĀRSTRĀDĀTA SATURA IZMANTOŠANA </w:t>
            </w:r>
          </w:p>
          <w:p w14:paraId="32C61C96"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Ir ieteicams izvērtēt iespēju šo kritēriju apvienot ar B16 kritēriju, bet to nevajadzētu izmantot, ja tiek izvēlēts B14 kritērijs. </w:t>
            </w:r>
          </w:p>
          <w:p w14:paraId="75436DBF"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 xml:space="preserve">Pasūtītājs piešķir papildu punktus pretendentiem, kas ir panākuši, ka reciklētais saturs, atkārtoti izmantotais saturs un/vai blakus produktu saturs C tabulā norādītajos ceļa galvenajos elementos ir vismaz 15 procenti (pēc masas). </w:t>
            </w:r>
          </w:p>
          <w:p w14:paraId="36D62EA0"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Punktu piešķiršanai var noteikt augstākas minimālā satura prasības, ja pirms būvdarbu veicēja ir panākta vienošanās ar projektētājiem. </w:t>
            </w:r>
          </w:p>
          <w:p w14:paraId="51C77BE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i/>
                <w:color w:val="000000"/>
                <w:sz w:val="28"/>
                <w:szCs w:val="28"/>
              </w:rPr>
              <w:t>Pasūtītājs var piešķirt vairāk punktu par atkārtoti izmantotu saturu nekā par reciklētu vai atkārtoti pārstrādātu saturu atkarībā no vietējiem apstākļiem.</w:t>
            </w:r>
            <w:r w:rsidRPr="004A1D98">
              <w:rPr>
                <w:rFonts w:ascii="Times New Roman" w:hAnsi="Times New Roman"/>
                <w:color w:val="000000"/>
                <w:sz w:val="28"/>
                <w:szCs w:val="28"/>
              </w:rPr>
              <w:t xml:space="preserve"> </w:t>
            </w:r>
          </w:p>
          <w:p w14:paraId="6CE832B7" w14:textId="77777777" w:rsidR="000D67AB" w:rsidRPr="004A1D98" w:rsidRDefault="000D67AB" w:rsidP="00426910">
            <w:pPr>
              <w:spacing w:before="120"/>
              <w:jc w:val="both"/>
              <w:rPr>
                <w:rFonts w:ascii="Times New Roman" w:hAnsi="Times New Roman"/>
                <w:b/>
                <w:i/>
                <w:color w:val="000000"/>
                <w:sz w:val="28"/>
                <w:szCs w:val="28"/>
              </w:rPr>
            </w:pPr>
          </w:p>
          <w:p w14:paraId="22EE775D"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b/>
                <w:i/>
                <w:color w:val="000000"/>
                <w:sz w:val="28"/>
                <w:szCs w:val="28"/>
              </w:rPr>
              <w:t>C tabula</w:t>
            </w:r>
            <w:r w:rsidRPr="004A1D98">
              <w:rPr>
                <w:rFonts w:ascii="Times New Roman" w:hAnsi="Times New Roman"/>
                <w:color w:val="000000"/>
                <w:sz w:val="28"/>
                <w:szCs w:val="28"/>
              </w:rPr>
              <w:t xml:space="preserve">. Vērtējamie ceļa elementi </w:t>
            </w:r>
          </w:p>
          <w:tbl>
            <w:tblPr>
              <w:tblStyle w:val="TableGrid4"/>
              <w:tblW w:w="0" w:type="auto"/>
              <w:tblLayout w:type="fixed"/>
              <w:tblLook w:val="04A0" w:firstRow="1" w:lastRow="0" w:firstColumn="1" w:lastColumn="0" w:noHBand="0" w:noVBand="1"/>
            </w:tblPr>
            <w:tblGrid>
              <w:gridCol w:w="3065"/>
              <w:gridCol w:w="2676"/>
            </w:tblGrid>
            <w:tr w:rsidR="000D67AB" w:rsidRPr="004A1D98" w14:paraId="5C775A27" w14:textId="77777777" w:rsidTr="000A7815">
              <w:trPr>
                <w:trHeight w:val="631"/>
              </w:trPr>
              <w:tc>
                <w:tcPr>
                  <w:tcW w:w="3065" w:type="dxa"/>
                </w:tcPr>
                <w:p w14:paraId="3165FF61"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 xml:space="preserve">Jauna būvniecība vai būtiska paplašināšana </w:t>
                  </w:r>
                </w:p>
              </w:tc>
              <w:tc>
                <w:tcPr>
                  <w:tcW w:w="2676" w:type="dxa"/>
                </w:tcPr>
                <w:p w14:paraId="310308DA"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Uzturēšana un atjaunošana</w:t>
                  </w:r>
                </w:p>
              </w:tc>
            </w:tr>
            <w:tr w:rsidR="000D67AB" w:rsidRPr="004A1D98" w14:paraId="4C72A5FD" w14:textId="77777777" w:rsidTr="000A7815">
              <w:trPr>
                <w:trHeight w:val="1664"/>
              </w:trPr>
              <w:tc>
                <w:tcPr>
                  <w:tcW w:w="3065" w:type="dxa"/>
                </w:tcPr>
                <w:p w14:paraId="69CA6487"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Zemes pamatne, arī zemes darbi un grunts darbi </w:t>
                  </w:r>
                </w:p>
                <w:p w14:paraId="147F917F"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Pamata apakškārta </w:t>
                  </w:r>
                </w:p>
                <w:p w14:paraId="7CFD71AD"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Ceļa pamats, saistkārta un ceļa virsma vai cementbetona plātnes </w:t>
                  </w:r>
                </w:p>
              </w:tc>
              <w:tc>
                <w:tcPr>
                  <w:tcW w:w="2676" w:type="dxa"/>
                </w:tcPr>
                <w:p w14:paraId="21FEF110" w14:textId="77777777" w:rsidR="000D67AB" w:rsidRPr="004A1D98" w:rsidRDefault="000D67AB" w:rsidP="00AB1BBF">
                  <w:pPr>
                    <w:numPr>
                      <w:ilvl w:val="0"/>
                      <w:numId w:val="52"/>
                    </w:numPr>
                    <w:spacing w:before="120"/>
                    <w:ind w:left="0" w:hanging="205"/>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Ceļa pamats, saistkārta un ceļa virsma vai cementbetona plātnes </w:t>
                  </w:r>
                </w:p>
              </w:tc>
            </w:tr>
          </w:tbl>
          <w:p w14:paraId="6556B712"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Reciklēto, kā arī atkārtoti izmantoto saturu aprēķina, pamatojoties uz reciklēto materiālu un/vai blakusproduktu vidējo masas bilanci atkarībā no tā, kā tos ražo un piegādā uz būvlaukumu (attiecīgā gadījumā): </w:t>
            </w:r>
          </w:p>
          <w:p w14:paraId="4ABA176A" w14:textId="77777777" w:rsidR="000D67AB" w:rsidRPr="004A1D98" w:rsidRDefault="000D67AB" w:rsidP="003325D3">
            <w:pPr>
              <w:spacing w:before="120"/>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A.15.1. katrai gatavā maisījuma partijai, kuras piegāde tiek veikta uz būvlaukumu saskaņā ar piemērojamiem standartiem: </w:t>
            </w:r>
          </w:p>
          <w:p w14:paraId="4F65BFB2" w14:textId="77777777" w:rsidR="00152CA1" w:rsidRPr="004A1D98" w:rsidRDefault="000D67AB" w:rsidP="00AB1BBF">
            <w:pPr>
              <w:pStyle w:val="ListParagraph"/>
              <w:numPr>
                <w:ilvl w:val="0"/>
                <w:numId w:val="67"/>
              </w:numPr>
              <w:tabs>
                <w:tab w:val="left" w:pos="1026"/>
              </w:tabs>
              <w:spacing w:before="120"/>
              <w:contextualSpacing/>
              <w:jc w:val="both"/>
              <w:rPr>
                <w:rFonts w:ascii="Times New Roman" w:eastAsia="SimSun" w:hAnsi="Times New Roman"/>
                <w:color w:val="000000"/>
                <w:sz w:val="28"/>
                <w:szCs w:val="28"/>
              </w:rPr>
            </w:pPr>
            <w:r w:rsidRPr="004A1D98">
              <w:rPr>
                <w:rFonts w:ascii="Times New Roman" w:eastAsia="SimSun" w:hAnsi="Times New Roman"/>
                <w:color w:val="000000"/>
                <w:sz w:val="28"/>
                <w:szCs w:val="28"/>
              </w:rPr>
              <w:t>pildvielām;</w:t>
            </w:r>
          </w:p>
          <w:p w14:paraId="5A7F1C6C" w14:textId="77777777" w:rsidR="00152CA1" w:rsidRPr="004A1D98" w:rsidRDefault="00152CA1" w:rsidP="00AB1BBF">
            <w:pPr>
              <w:pStyle w:val="ListParagraph"/>
              <w:numPr>
                <w:ilvl w:val="0"/>
                <w:numId w:val="67"/>
              </w:numPr>
              <w:tabs>
                <w:tab w:val="left" w:pos="1026"/>
              </w:tabs>
              <w:spacing w:before="120"/>
              <w:contextualSpacing/>
              <w:jc w:val="both"/>
              <w:rPr>
                <w:rFonts w:ascii="Times New Roman" w:eastAsia="SimSun" w:hAnsi="Times New Roman"/>
                <w:color w:val="000000"/>
                <w:sz w:val="28"/>
                <w:szCs w:val="28"/>
              </w:rPr>
            </w:pPr>
            <w:r w:rsidRPr="004A1D98">
              <w:rPr>
                <w:rFonts w:ascii="Times New Roman" w:eastAsia="SimSun" w:hAnsi="Times New Roman"/>
                <w:color w:val="000000"/>
                <w:sz w:val="28"/>
                <w:szCs w:val="28"/>
              </w:rPr>
              <w:t xml:space="preserve">asfalta segumam; </w:t>
            </w:r>
          </w:p>
          <w:p w14:paraId="37CDF0A3" w14:textId="77777777" w:rsidR="00152CA1" w:rsidRPr="004A1D98" w:rsidRDefault="000D67AB" w:rsidP="00AB1BBF">
            <w:pPr>
              <w:pStyle w:val="ListParagraph"/>
              <w:numPr>
                <w:ilvl w:val="0"/>
                <w:numId w:val="67"/>
              </w:numPr>
              <w:tabs>
                <w:tab w:val="left" w:pos="1026"/>
              </w:tabs>
              <w:spacing w:before="120"/>
              <w:contextualSpacing/>
              <w:jc w:val="both"/>
              <w:rPr>
                <w:rFonts w:ascii="Times New Roman" w:eastAsia="SimSun" w:hAnsi="Times New Roman"/>
                <w:color w:val="000000"/>
                <w:sz w:val="28"/>
                <w:szCs w:val="28"/>
              </w:rPr>
            </w:pPr>
            <w:r w:rsidRPr="004A1D98">
              <w:rPr>
                <w:rFonts w:ascii="Times New Roman" w:eastAsia="SimSun" w:hAnsi="Times New Roman"/>
                <w:color w:val="000000"/>
                <w:sz w:val="28"/>
                <w:szCs w:val="28"/>
              </w:rPr>
              <w:t xml:space="preserve">betona segumam; </w:t>
            </w:r>
          </w:p>
          <w:p w14:paraId="160555F9" w14:textId="77777777" w:rsidR="00152CA1" w:rsidRPr="004A1D98" w:rsidRDefault="000D67AB" w:rsidP="00AB1BBF">
            <w:pPr>
              <w:pStyle w:val="ListParagraph"/>
              <w:numPr>
                <w:ilvl w:val="0"/>
                <w:numId w:val="67"/>
              </w:numPr>
              <w:tabs>
                <w:tab w:val="left" w:pos="1026"/>
              </w:tabs>
              <w:spacing w:before="120"/>
              <w:contextualSpacing/>
              <w:jc w:val="both"/>
              <w:rPr>
                <w:rFonts w:ascii="Times New Roman" w:eastAsia="SimSun" w:hAnsi="Times New Roman"/>
                <w:color w:val="000000"/>
                <w:sz w:val="28"/>
                <w:szCs w:val="28"/>
              </w:rPr>
            </w:pPr>
            <w:r w:rsidRPr="004A1D98">
              <w:rPr>
                <w:rFonts w:ascii="Times New Roman" w:eastAsia="SimSun" w:hAnsi="Times New Roman"/>
                <w:color w:val="000000"/>
                <w:sz w:val="28"/>
                <w:szCs w:val="28"/>
              </w:rPr>
              <w:t xml:space="preserve">hidrauliski saistītiem graudainajiem maisījumiem; </w:t>
            </w:r>
          </w:p>
          <w:p w14:paraId="536FB386" w14:textId="65BFE664" w:rsidR="000D67AB" w:rsidRPr="004A1D98" w:rsidRDefault="000D67AB" w:rsidP="00AB1BBF">
            <w:pPr>
              <w:pStyle w:val="ListParagraph"/>
              <w:numPr>
                <w:ilvl w:val="0"/>
                <w:numId w:val="67"/>
              </w:numPr>
              <w:tabs>
                <w:tab w:val="left" w:pos="1026"/>
              </w:tabs>
              <w:spacing w:before="120"/>
              <w:contextualSpacing/>
              <w:jc w:val="both"/>
              <w:rPr>
                <w:rFonts w:ascii="Times New Roman" w:eastAsia="SimSun" w:hAnsi="Times New Roman"/>
                <w:color w:val="000000"/>
                <w:sz w:val="28"/>
                <w:szCs w:val="28"/>
              </w:rPr>
            </w:pPr>
            <w:r w:rsidRPr="004A1D98">
              <w:rPr>
                <w:rFonts w:ascii="Times New Roman" w:eastAsia="SimSun" w:hAnsi="Times New Roman"/>
                <w:color w:val="000000"/>
                <w:sz w:val="28"/>
                <w:szCs w:val="28"/>
              </w:rPr>
              <w:t>stabilizētai gruntij.</w:t>
            </w:r>
          </w:p>
          <w:p w14:paraId="7F47058D" w14:textId="77777777" w:rsidR="000D67AB" w:rsidRPr="004A1D98" w:rsidRDefault="000D67AB" w:rsidP="00152CA1">
            <w:pPr>
              <w:spacing w:before="120"/>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A.15.2. rūpnieciski ražotas plātnes un elementi ar norādītu saturu — katru gadu saskaņā ar piemērojamiem standartiem.   </w:t>
            </w:r>
          </w:p>
          <w:p w14:paraId="62ACE550"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A16. EFEKTIVITĀTES PRASĪBAS ATTIECĪBĀ UZ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 xml:space="preserve">EKVIVALENTĀM EMISIJĀM, KAS RODAS PILDVIELU TRANSPORTĒŠANĀ </w:t>
            </w:r>
          </w:p>
          <w:p w14:paraId="1DE607E7" w14:textId="77777777" w:rsidR="000D67AB" w:rsidRPr="004A1D98" w:rsidRDefault="000D67AB" w:rsidP="00426910">
            <w:pPr>
              <w:spacing w:before="120" w:beforeAutospacing="1" w:after="120" w:afterAutospacing="1"/>
              <w:jc w:val="both"/>
              <w:rPr>
                <w:rFonts w:ascii="Times New Roman" w:hAnsi="Times New Roman"/>
                <w:i/>
                <w:color w:val="000000"/>
                <w:sz w:val="28"/>
                <w:szCs w:val="28"/>
              </w:rPr>
            </w:pPr>
            <w:r w:rsidRPr="004A1D98">
              <w:rPr>
                <w:rFonts w:ascii="Times New Roman" w:hAnsi="Times New Roman"/>
                <w:color w:val="000000"/>
                <w:sz w:val="28"/>
                <w:szCs w:val="28"/>
              </w:rPr>
              <w:t xml:space="preserve"> </w:t>
            </w:r>
            <w:r w:rsidRPr="004A1D98">
              <w:rPr>
                <w:rFonts w:ascii="Times New Roman" w:hAnsi="Times New Roman"/>
                <w:i/>
                <w:color w:val="000000"/>
                <w:sz w:val="28"/>
                <w:szCs w:val="28"/>
              </w:rPr>
              <w:t xml:space="preserve">Šo kritēriju neizmanto, ja tiek piemērots B14 kritērijs. Ir ieteicams izvērtēt iespēju šo kritēriju apvienot ar B15 kritēriju, lai sniegtu vispārēju labumu videi. Tas katrā ziņā jādara ar izpratni par tirgus apstākļiem, un iepirkuma procedūras dokumentācijā jānosaka un skaidri jānorāda, kāds ir to kritēriju svars, kas nodrošinās veiksmīgu iepirkuma norisi un dos pozitīvus punktus piedāvājumiem ar labākiem vispārējiem ekoloģiskajiem raksturlielumiem. </w:t>
            </w:r>
          </w:p>
          <w:p w14:paraId="1CC9FA98" w14:textId="7D324EE9"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Punktus piešķirs proporcionāli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ekvivalentas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 xml:space="preserve">e) emisijas samazinājumam uz tonnu pildvielu, ko izmanto E tabulā nosaukto ceļa galveno elementu ražošanā. </w:t>
            </w:r>
            <w:r w:rsidRPr="004A1D98">
              <w:rPr>
                <w:rFonts w:ascii="Times New Roman" w:hAnsi="Times New Roman"/>
                <w:color w:val="000000"/>
                <w:sz w:val="28"/>
                <w:szCs w:val="28"/>
                <w:lang w:eastAsia="en-GB"/>
              </w:rPr>
              <w:t>Iepirkuma procedūras dokumentācijā</w:t>
            </w:r>
            <w:r w:rsidRPr="004A1D98">
              <w:rPr>
                <w:rFonts w:ascii="Times New Roman" w:hAnsi="Times New Roman"/>
                <w:color w:val="000000"/>
                <w:sz w:val="28"/>
                <w:szCs w:val="28"/>
              </w:rPr>
              <w:t xml:space="preserve"> norāda transportēšanā radušos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 xml:space="preserve">emisiju aprēķināšanas metodi un rīku. </w:t>
            </w:r>
          </w:p>
          <w:p w14:paraId="0B9F4C40"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Pasūtītājs, pamatojoties uz projektētāju sniegto informāciju, varētu noteikt mērķrādītāju: maksimālās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e emisijas uz tonnu transportēto pildvielu. Šādu mērķrādītāju kopā ar to pamatā esošajiem pieņēmumiem un noteikumiem ietver galvenajam būvuzņēmējam domātajā</w:t>
            </w:r>
            <w:r w:rsidRPr="004A1D98">
              <w:rPr>
                <w:rFonts w:ascii="Times New Roman" w:hAnsi="Times New Roman"/>
                <w:color w:val="000000"/>
                <w:sz w:val="28"/>
                <w:szCs w:val="28"/>
                <w:lang w:eastAsia="en-GB"/>
              </w:rPr>
              <w:t xml:space="preserve"> uzaicinājumā iesniegt piedāvājumus</w:t>
            </w:r>
            <w:r w:rsidRPr="004A1D98">
              <w:rPr>
                <w:rFonts w:ascii="Times New Roman" w:hAnsi="Times New Roman"/>
                <w:color w:val="000000"/>
                <w:sz w:val="28"/>
                <w:szCs w:val="28"/>
              </w:rPr>
              <w:t xml:space="preserve">. </w:t>
            </w:r>
          </w:p>
          <w:p w14:paraId="793CDB1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b/>
                <w:i/>
                <w:color w:val="000000"/>
                <w:sz w:val="28"/>
                <w:szCs w:val="28"/>
              </w:rPr>
              <w:t>E tabula</w:t>
            </w:r>
            <w:r w:rsidRPr="004A1D98">
              <w:rPr>
                <w:rFonts w:ascii="Times New Roman" w:hAnsi="Times New Roman"/>
                <w:color w:val="000000"/>
                <w:sz w:val="28"/>
                <w:szCs w:val="28"/>
              </w:rPr>
              <w:t xml:space="preserve">. Vērtējamie ceļa elementi </w:t>
            </w:r>
          </w:p>
          <w:tbl>
            <w:tblPr>
              <w:tblStyle w:val="TableGrid4"/>
              <w:tblW w:w="0" w:type="auto"/>
              <w:tblLayout w:type="fixed"/>
              <w:tblLook w:val="04A0" w:firstRow="1" w:lastRow="0" w:firstColumn="1" w:lastColumn="0" w:noHBand="0" w:noVBand="1"/>
            </w:tblPr>
            <w:tblGrid>
              <w:gridCol w:w="3006"/>
              <w:gridCol w:w="2744"/>
            </w:tblGrid>
            <w:tr w:rsidR="000D67AB" w:rsidRPr="004A1D98" w14:paraId="2CBB5DAD" w14:textId="77777777" w:rsidTr="000A7815">
              <w:trPr>
                <w:trHeight w:val="656"/>
              </w:trPr>
              <w:tc>
                <w:tcPr>
                  <w:tcW w:w="3006" w:type="dxa"/>
                </w:tcPr>
                <w:p w14:paraId="2EAEB34A"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 xml:space="preserve">Jauna būvniecība vai būtiska paplašināšana </w:t>
                  </w:r>
                </w:p>
              </w:tc>
              <w:tc>
                <w:tcPr>
                  <w:tcW w:w="2744" w:type="dxa"/>
                </w:tcPr>
                <w:p w14:paraId="7F20E9EE" w14:textId="77777777" w:rsidR="000D67AB" w:rsidRPr="004A1D98" w:rsidRDefault="000D67AB" w:rsidP="00426910">
                  <w:pPr>
                    <w:spacing w:before="120"/>
                    <w:jc w:val="both"/>
                    <w:rPr>
                      <w:rFonts w:ascii="Times New Roman" w:hAnsi="Times New Roman"/>
                      <w:b/>
                      <w:color w:val="000000"/>
                      <w:sz w:val="28"/>
                      <w:szCs w:val="28"/>
                    </w:rPr>
                  </w:pPr>
                  <w:r w:rsidRPr="004A1D98">
                    <w:rPr>
                      <w:rFonts w:ascii="Times New Roman" w:hAnsi="Times New Roman"/>
                      <w:b/>
                      <w:color w:val="000000"/>
                      <w:sz w:val="28"/>
                      <w:szCs w:val="28"/>
                    </w:rPr>
                    <w:t>Uzturēšana un atjaunošana</w:t>
                  </w:r>
                </w:p>
              </w:tc>
            </w:tr>
            <w:tr w:rsidR="000D67AB" w:rsidRPr="004A1D98" w14:paraId="0F1ED28C" w14:textId="77777777" w:rsidTr="000A7815">
              <w:trPr>
                <w:trHeight w:val="2403"/>
              </w:trPr>
              <w:tc>
                <w:tcPr>
                  <w:tcW w:w="3006" w:type="dxa"/>
                </w:tcPr>
                <w:p w14:paraId="2B058666"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Zemes pamatne, arī zemes darbi un grunts darbi </w:t>
                  </w:r>
                </w:p>
                <w:p w14:paraId="0E01B4A6"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Pamata apakškārta </w:t>
                  </w:r>
                </w:p>
                <w:p w14:paraId="727C039E"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Ceļa pamats, saistkārta un ceļa virsma vai cementbetona plātnes</w:t>
                  </w:r>
                </w:p>
                <w:p w14:paraId="1AA3B0E6" w14:textId="77777777" w:rsidR="000D67AB" w:rsidRPr="004A1D98" w:rsidRDefault="000D67AB" w:rsidP="00AB1BBF">
                  <w:pPr>
                    <w:numPr>
                      <w:ilvl w:val="0"/>
                      <w:numId w:val="52"/>
                    </w:numPr>
                    <w:tabs>
                      <w:tab w:val="num" w:pos="205"/>
                    </w:tabs>
                    <w:spacing w:before="120"/>
                    <w:ind w:left="0" w:hanging="205"/>
                    <w:jc w:val="both"/>
                    <w:rPr>
                      <w:rFonts w:ascii="Times New Roman" w:hAnsi="Times New Roman"/>
                      <w:color w:val="000000"/>
                      <w:sz w:val="28"/>
                      <w:szCs w:val="28"/>
                    </w:rPr>
                  </w:pPr>
                  <w:r w:rsidRPr="004A1D98">
                    <w:rPr>
                      <w:rFonts w:ascii="Times New Roman" w:hAnsi="Times New Roman"/>
                      <w:color w:val="000000"/>
                      <w:sz w:val="28"/>
                      <w:szCs w:val="28"/>
                    </w:rPr>
                    <w:t xml:space="preserve">Citi ceļa palīgelementi (pēc izvēles)  </w:t>
                  </w:r>
                </w:p>
              </w:tc>
              <w:tc>
                <w:tcPr>
                  <w:tcW w:w="2744" w:type="dxa"/>
                </w:tcPr>
                <w:p w14:paraId="14C61BA2" w14:textId="77777777" w:rsidR="000D67AB" w:rsidRPr="004A1D98" w:rsidRDefault="000D67AB" w:rsidP="00AB1BBF">
                  <w:pPr>
                    <w:numPr>
                      <w:ilvl w:val="0"/>
                      <w:numId w:val="52"/>
                    </w:numPr>
                    <w:spacing w:before="120"/>
                    <w:ind w:left="0" w:hanging="205"/>
                    <w:contextualSpacing/>
                    <w:jc w:val="both"/>
                    <w:rPr>
                      <w:rFonts w:ascii="Times New Roman" w:hAnsi="Times New Roman"/>
                      <w:color w:val="000000"/>
                      <w:sz w:val="28"/>
                      <w:szCs w:val="28"/>
                    </w:rPr>
                  </w:pPr>
                  <w:r w:rsidRPr="004A1D98">
                    <w:rPr>
                      <w:rFonts w:ascii="Times New Roman" w:hAnsi="Times New Roman"/>
                      <w:color w:val="000000"/>
                      <w:sz w:val="28"/>
                      <w:szCs w:val="28"/>
                    </w:rPr>
                    <w:t xml:space="preserve">Ceļa pamats, saistkārta un ceļa virsma vai cementbetona plātnes </w:t>
                  </w:r>
                </w:p>
              </w:tc>
            </w:tr>
          </w:tbl>
          <w:p w14:paraId="2C7FFD48" w14:textId="77777777" w:rsidR="000D67AB" w:rsidRPr="004A1D98" w:rsidRDefault="000D67AB" w:rsidP="00426910">
            <w:pPr>
              <w:jc w:val="both"/>
              <w:rPr>
                <w:rFonts w:ascii="Times New Roman" w:hAnsi="Times New Roman"/>
                <w:color w:val="000000"/>
                <w:sz w:val="28"/>
                <w:szCs w:val="28"/>
              </w:rPr>
            </w:pPr>
          </w:p>
          <w:p w14:paraId="45248461" w14:textId="77777777" w:rsidR="000D67AB" w:rsidRPr="004A1D98" w:rsidRDefault="000D67AB" w:rsidP="00426910">
            <w:pPr>
              <w:jc w:val="both"/>
              <w:rPr>
                <w:rFonts w:ascii="Times New Roman" w:hAnsi="Times New Roman"/>
                <w:color w:val="000000"/>
                <w:sz w:val="28"/>
                <w:szCs w:val="28"/>
              </w:rPr>
            </w:pPr>
          </w:p>
          <w:p w14:paraId="24F7532F" w14:textId="77777777" w:rsidR="000D67AB" w:rsidRPr="004A1D98" w:rsidRDefault="000D67AB" w:rsidP="00426910">
            <w:pPr>
              <w:jc w:val="both"/>
              <w:rPr>
                <w:rFonts w:ascii="Times New Roman" w:hAnsi="Times New Roman"/>
                <w:color w:val="000000"/>
                <w:sz w:val="28"/>
                <w:szCs w:val="28"/>
              </w:rPr>
            </w:pPr>
          </w:p>
          <w:p w14:paraId="3F3EF2AA" w14:textId="77777777" w:rsidR="000D67AB" w:rsidRPr="004A1D98" w:rsidRDefault="000D67AB" w:rsidP="00426910">
            <w:pPr>
              <w:jc w:val="both"/>
              <w:rPr>
                <w:rFonts w:ascii="Times New Roman" w:hAnsi="Times New Roman"/>
                <w:color w:val="000000"/>
                <w:sz w:val="28"/>
                <w:szCs w:val="28"/>
              </w:rPr>
            </w:pPr>
            <w:r w:rsidRPr="004A1D98">
              <w:rPr>
                <w:rFonts w:ascii="Times New Roman" w:hAnsi="Times New Roman"/>
                <w:color w:val="000000"/>
                <w:sz w:val="28"/>
                <w:szCs w:val="28"/>
              </w:rPr>
              <w:t xml:space="preserve">A17. PRASĪBAS ŪDENS PIESĀRŅOJUMA KONTROLES "DABISKAJIEM" KOMPONENTIEM ŪDENS NOVADES SISTĒMĀS </w:t>
            </w:r>
          </w:p>
          <w:p w14:paraId="6CF02D43"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Papildu punktus piešķir ūdens novades sistēmas projektiem, kuros iekļauti "dabiskie" komponenti (integrētās ūdens novades sistēmas, IŪNS), šādā kārtībā: </w:t>
            </w:r>
          </w:p>
          <w:p w14:paraId="55054472"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A.17.1. gar ceļa malu izbūvētas drenāžas tranšejas ar zemām malām (&lt; 25 mm) vai bez tām, kas nosedz vismaz 40 procenti no ceļmalas (0,25X punkti); </w:t>
            </w:r>
          </w:p>
          <w:p w14:paraId="461FB2D7"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A.17.2. ar zālienu apzaļumotas ievalkas, kas noklāj vismaz 40 procenti no ceļmalas (0,5X punkti); </w:t>
            </w:r>
          </w:p>
          <w:p w14:paraId="491CAB63"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A.17.3. apzaļumoti ūdens aizturēšanas baseini ar infiltrācijas nolūkā neoderētu pamatu, caur kuriem tiek novirzīts viss no ceļa novadītais ūdens, pirms tas sasniedz vietējo virszemes ūdenstilpi (0,5X punkti); </w:t>
            </w:r>
          </w:p>
          <w:p w14:paraId="6BE7C12A"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A.17.4. apzaļumoti ūdens aizturēšanas dīķi ar oderējumu, lai radītu mākslīgu mitraini, un/vai tādi pastāvīgi ūdensobjekti visā baseinā vai tā daļā, caur kuriem tiek novirzīts viss no ceļa novadītais ūdens, pirms tas sasniedz vietējo virszemes ūdenstilpi (0,75X punkti). </w:t>
            </w:r>
          </w:p>
          <w:p w14:paraId="34EA5E0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Ūdens novades projektā var būt iestrādātas vairākas IŪNS iezīmes. </w:t>
            </w:r>
          </w:p>
          <w:p w14:paraId="1E26BA8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Šādas sistēmas projektē saskaņā ar paraugprakses pamatnostādnēm.</w:t>
            </w:r>
          </w:p>
          <w:p w14:paraId="4ECE30B8" w14:textId="77777777" w:rsidR="000D67AB" w:rsidRPr="004A1D98" w:rsidRDefault="000D67AB" w:rsidP="00426910">
            <w:pPr>
              <w:spacing w:before="120"/>
              <w:jc w:val="both"/>
              <w:rPr>
                <w:rFonts w:ascii="Times New Roman" w:hAnsi="Times New Roman"/>
                <w:color w:val="000000"/>
                <w:sz w:val="28"/>
                <w:szCs w:val="28"/>
              </w:rPr>
            </w:pPr>
          </w:p>
          <w:p w14:paraId="572FE9B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A18. PRASĪBAS LIETUS ŪDENS AIZTURĒŠANAS KAPACITĀTEI ŪDENS NOVADES SISTĒMĀS, KURĀS IESTRĀDĀTI "DABISKIE" KOMPONENTI </w:t>
            </w:r>
          </w:p>
          <w:p w14:paraId="642620B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Papildu punktus piešķir IŪNS, kas ietver tādas lietus ūdens aizturēšanas ierīces, kas uzlabo vietas estētiku un sekmē potenciālo dzīvotņu veidošanos, šādā kārtībā: </w:t>
            </w:r>
          </w:p>
          <w:p w14:paraId="25C2FE41"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A.18.1 ar zālienu nostiprinātas ievalkas ar sliekšņiem un atveres plātnēm pamatnē, lai stipru lietusgāžu laikā tās darbotos kā aizturēšanas ierīces, bet parasti būtu sausas (0,5X punkti); </w:t>
            </w:r>
          </w:p>
          <w:p w14:paraId="44A0C64D"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A.18.2 apzaļumoti ūdens aizturēšanas baseini ar infiltrācijas nolūkā neoderētu pamatni un pārplūdi skarbiem apstākļiem, caur kuriem tiek novirzīts viss no ceļa novadītais ūdens, pirms tas sasniedz vietējo virszemes ūdenstilpi (0,5X punkti); </w:t>
            </w:r>
          </w:p>
          <w:p w14:paraId="66E444C6"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A.18.3. apzaļumoti ūdens aizturēšanas dīķi ar oderējumu, lai radītu mākslīgu mitraini, un/vai tādi pastāvīgi ūdensobjekti visā baseinā vai tā daļā, caur kuriem tiek novirzīts viss no ceļa novadītais ūdens, pirms tas sasniedz vietējo virszemes ūdenstilpi (0,75X punkti). </w:t>
            </w:r>
          </w:p>
          <w:p w14:paraId="5E2F40B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Ūdens novades tehniskajā projektā var iekļaut vienu pazīmi vai visas pazīmes, un tās var apvienot ar citiem "tehniskajiem" komponentiem atkarībā no vietas. </w:t>
            </w:r>
          </w:p>
          <w:p w14:paraId="55D36036"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 </w:t>
            </w:r>
          </w:p>
          <w:p w14:paraId="291ED162"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A19. RAKSTURLIELUMU PRASĪBAS VIETĀM, KUR CEĻU ŠĶĒRSO SAVVAĻAS DZĪVNIEKI </w:t>
            </w:r>
          </w:p>
          <w:p w14:paraId="1E53674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Papildu punktus piešķir tādai ūdens novades infrastruktūrai (caurtekām vai pazemes pārejām), kas palīdz droši šķērsot ceļu mazajai faunai un abinieku vai ūdensdzīvnieku sugām. Punktus piešķir šādi: </w:t>
            </w:r>
          </w:p>
          <w:p w14:paraId="00AEF8DA"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A.19.1. ceļmalās izbūvētas drenāžas tranšejas ar zemām apmalēm (&lt; 25 mm) vai bez tām, kas aizņem vismaz 40 procenti no ceļmalas (0,5X punkti); </w:t>
            </w:r>
          </w:p>
          <w:p w14:paraId="538D6AAF"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A.19.2. vismaz 50 procenti visu caurteku, kas paredzētas virsmas ūdens novadīšanai otrpus pamata virskārtai, nodrošinātas gludas un sausas ejas mazajai faunai (0,5X punkti); </w:t>
            </w:r>
          </w:p>
          <w:p w14:paraId="73428AD9" w14:textId="77777777" w:rsidR="000D67AB" w:rsidRPr="004A1D98" w:rsidRDefault="000D67AB" w:rsidP="00BD492B">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A.19.3. visas caurtekas, caur kurām tiek novadīta virsmas ūdenstece, netraucē zivju vai abinieku sugu migrācijai pret straumi (0,5X punkti). </w:t>
            </w:r>
          </w:p>
          <w:p w14:paraId="5AD592E1"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Caurtekas, kurās pieļaujama mazās faunas un ūdensdzīvnieku sugu pārvietošanās, projektē atbilstīgi paraugprakses pamatnostādnēm. </w:t>
            </w:r>
          </w:p>
          <w:p w14:paraId="4E7098E1" w14:textId="77777777" w:rsidR="000D67AB" w:rsidRPr="004A1D98" w:rsidRDefault="000D67AB" w:rsidP="00426910">
            <w:pPr>
              <w:spacing w:before="120"/>
              <w:jc w:val="both"/>
              <w:rPr>
                <w:rFonts w:ascii="Times New Roman" w:hAnsi="Times New Roman"/>
                <w:color w:val="000000"/>
                <w:sz w:val="28"/>
                <w:szCs w:val="28"/>
              </w:rPr>
            </w:pPr>
          </w:p>
          <w:p w14:paraId="50A5D31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A20. IZPILDES NOSACĪJUMS ZEMA TROKŠŅA LĪMEŅA CEĻA SEGUMA TEHNISKAJAM PROJEKTAM </w:t>
            </w:r>
          </w:p>
          <w:p w14:paraId="04A0140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Papildu punktus piešķir, ja seguma tehniskajā projektā paredzēts panākt, ka CPX trokšņa emisijas ir vairāk nekā 1 dB(A) zemākas par tehniskajās prasībās noteikto minimumu (skatīt B7 prasību). Punktus piešķirs proporcionāli decibelu skaitam (dB(A)), par cik aplēstie raksturlielumi uzlabos minimālās tehniskās prasības. </w:t>
            </w:r>
          </w:p>
        </w:tc>
      </w:tr>
    </w:tbl>
    <w:p w14:paraId="26BD953E" w14:textId="77777777" w:rsidR="000D67AB" w:rsidRPr="004A1D98" w:rsidRDefault="000D67AB" w:rsidP="00426910">
      <w:pPr>
        <w:spacing w:after="120" w:line="264" w:lineRule="auto"/>
        <w:jc w:val="both"/>
        <w:rPr>
          <w:rFonts w:ascii="Times New Roman" w:eastAsia="SimSun" w:hAnsi="Times New Roman" w:cs="Times New Roman"/>
          <w:color w:val="000000"/>
          <w:sz w:val="28"/>
          <w:szCs w:val="28"/>
          <w:lang w:val="lv-LV"/>
        </w:rPr>
      </w:pPr>
    </w:p>
    <w:p w14:paraId="52134463" w14:textId="77777777" w:rsidR="000D67AB" w:rsidRPr="004A1D98" w:rsidRDefault="000D67AB" w:rsidP="00426910">
      <w:pPr>
        <w:keepNext/>
        <w:keepLines/>
        <w:spacing w:before="480" w:after="0" w:line="240" w:lineRule="auto"/>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B. ZPI līguma izpildes noteikumi ceļu būvniecībai vai tā būtiskai paplašināšanai</w:t>
      </w:r>
    </w:p>
    <w:tbl>
      <w:tblPr>
        <w:tblStyle w:val="TableGrid4"/>
        <w:tblW w:w="8500" w:type="dxa"/>
        <w:tblLook w:val="04A0" w:firstRow="1" w:lastRow="0" w:firstColumn="1" w:lastColumn="0" w:noHBand="0" w:noVBand="1"/>
      </w:tblPr>
      <w:tblGrid>
        <w:gridCol w:w="2405"/>
        <w:gridCol w:w="6095"/>
      </w:tblGrid>
      <w:tr w:rsidR="000D67AB" w:rsidRPr="004A1D98" w14:paraId="5B852BC7" w14:textId="77777777" w:rsidTr="000A7815">
        <w:trPr>
          <w:trHeight w:val="552"/>
        </w:trPr>
        <w:tc>
          <w:tcPr>
            <w:tcW w:w="2405" w:type="dxa"/>
            <w:shd w:val="clear" w:color="auto" w:fill="BFBFBF"/>
          </w:tcPr>
          <w:p w14:paraId="48337423"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Iepirkuma dokumentu sastāvdaļas</w:t>
            </w:r>
          </w:p>
        </w:tc>
        <w:tc>
          <w:tcPr>
            <w:tcW w:w="6095" w:type="dxa"/>
            <w:shd w:val="clear" w:color="auto" w:fill="BFBFBF"/>
          </w:tcPr>
          <w:p w14:paraId="78FB4B50"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ZPI līguma izpildes noteikumi</w:t>
            </w:r>
          </w:p>
        </w:tc>
      </w:tr>
      <w:tr w:rsidR="000D67AB" w:rsidRPr="004A1D98" w14:paraId="22F04259" w14:textId="77777777" w:rsidTr="000A7815">
        <w:trPr>
          <w:trHeight w:val="552"/>
        </w:trPr>
        <w:tc>
          <w:tcPr>
            <w:tcW w:w="2405" w:type="dxa"/>
          </w:tcPr>
          <w:p w14:paraId="1EED6AE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Iepirkuma līguma izpildes noteikumi</w:t>
            </w:r>
          </w:p>
        </w:tc>
        <w:tc>
          <w:tcPr>
            <w:tcW w:w="6095" w:type="dxa"/>
          </w:tcPr>
          <w:p w14:paraId="152AF231"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B1. CEĻA BŪVNIECĪBAS NODOŠANA EKSPLUATĀCIJĀ </w:t>
            </w:r>
          </w:p>
          <w:p w14:paraId="2B9A0636"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veicējam jānodrošina, lai ceļa būves nodošana ekspluatācijā atbilst saskaņotajam tehniskajam projektam un specifikācijām. Ieteicams pievērst īpašu uzmanību šādiem aspektiem: </w:t>
            </w:r>
          </w:p>
          <w:p w14:paraId="4EED193D" w14:textId="77777777" w:rsidR="000D67AB" w:rsidRPr="004A1D98" w:rsidRDefault="000D67AB" w:rsidP="00004DA8">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B.1.1. ceļa galveno elementu OP/ACN raksturlielumiem (B14 kritērijs) vai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 xml:space="preserve">emisijām uz tonnu transportēto materiālu (B16 kritērijs); </w:t>
            </w:r>
          </w:p>
          <w:p w14:paraId="78EE07E8" w14:textId="77777777" w:rsidR="000D67AB" w:rsidRPr="004A1D98" w:rsidRDefault="000D67AB" w:rsidP="00004DA8">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B.1.2. izrakto materiālu un grunts   apsaimniekošanas plānam (A2 kritērijs); </w:t>
            </w:r>
          </w:p>
          <w:p w14:paraId="5EB24BC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veicējs informē pasūtītāju, ja būvniecības fāzē tiek apsvērta nepieciešamība pēc būtiskas atkāpes no projektā izvirzītajām prasībām, un, ja tas ir pamatoti, vienojas par atkāpi. </w:t>
            </w:r>
          </w:p>
          <w:p w14:paraId="7913403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Gadījumiem, kad nevar vienoties, līguma noteikumos jāparedz iepriekš noteikta kārtība, lai lemtu par atbilstīgām un samērīgām soda sankcijām sakarā ar neatbilstību un/vai koriģējošiem vai seku mazināšanas pasākumiem.  </w:t>
            </w:r>
          </w:p>
          <w:p w14:paraId="7292FC54" w14:textId="77777777" w:rsidR="000D67AB" w:rsidRPr="004A1D98" w:rsidRDefault="000D67AB" w:rsidP="00426910">
            <w:pPr>
              <w:spacing w:before="120"/>
              <w:jc w:val="both"/>
              <w:rPr>
                <w:rFonts w:ascii="Times New Roman" w:hAnsi="Times New Roman"/>
                <w:color w:val="000000"/>
                <w:sz w:val="28"/>
                <w:szCs w:val="28"/>
              </w:rPr>
            </w:pPr>
          </w:p>
          <w:p w14:paraId="0BE7230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B2. RECIKLĒTA UN ATKĀRTOTI PĀRSTRĀDĀTA SATURA IZMANTOŠANA </w:t>
            </w:r>
          </w:p>
          <w:p w14:paraId="3D373E13"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Kad materiālus nogādā būvlaukumā, apgalvojumus par reciklēto un atkārtoti pārstrādāto saturu, kas ir skaidri izsekojami, verificē katrai izstrādājumu partijai atsevišķi. Būvdarbu veicējs verificē apgalvojumus. </w:t>
            </w:r>
          </w:p>
          <w:p w14:paraId="0B552EC8" w14:textId="77777777" w:rsidR="000D67AB" w:rsidRPr="004A1D98" w:rsidRDefault="000D67AB" w:rsidP="00426910">
            <w:pPr>
              <w:spacing w:before="120" w:beforeAutospacing="1" w:after="120" w:afterAutospacing="1"/>
              <w:jc w:val="both"/>
              <w:rPr>
                <w:rFonts w:ascii="Times New Roman" w:hAnsi="Times New Roman"/>
                <w:i/>
                <w:color w:val="000000"/>
                <w:sz w:val="28"/>
                <w:szCs w:val="28"/>
              </w:rPr>
            </w:pPr>
            <w:r w:rsidRPr="004A1D98">
              <w:rPr>
                <w:rFonts w:ascii="Times New Roman" w:hAnsi="Times New Roman"/>
                <w:b/>
                <w:i/>
                <w:color w:val="000000"/>
                <w:sz w:val="28"/>
                <w:szCs w:val="28"/>
              </w:rPr>
              <w:t>Piezīme</w:t>
            </w:r>
            <w:r w:rsidRPr="004A1D98">
              <w:rPr>
                <w:rFonts w:ascii="Times New Roman" w:hAnsi="Times New Roman"/>
                <w:color w:val="000000"/>
                <w:sz w:val="28"/>
                <w:szCs w:val="28"/>
              </w:rPr>
              <w:t xml:space="preserve">. </w:t>
            </w:r>
            <w:r w:rsidRPr="004A1D98">
              <w:rPr>
                <w:rFonts w:ascii="Times New Roman" w:hAnsi="Times New Roman"/>
                <w:i/>
                <w:color w:val="000000"/>
                <w:sz w:val="28"/>
                <w:szCs w:val="28"/>
              </w:rPr>
              <w:t xml:space="preserve">"Partija" ir vienoti marķētu tādu izstrādājumu daudzums ko ražo vienā un tajā pašā maisāmajā iekārtā vienādos apstākļos saskaņā ar noteiktu maisījuma projektu un izmantojot tās pašas izejvielas. </w:t>
            </w:r>
          </w:p>
          <w:p w14:paraId="5DF053E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B3. IZRAKTO MATERIĀLU UN GRUNTS APSAIMNIEKOŠANAS PLĀNA ĪSTENOŠANA VIENKĀRŠĀ UN VIEGLI PĀRSKATĀMĀ SISTĒMĀ</w:t>
            </w:r>
          </w:p>
          <w:p w14:paraId="67CF5C9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veicējs ievieš vienkāršu un pasūtītājam viegli saprotamu un pārskatāmu uzraudzības un atskaitīšanās sistēmu par darbībām ar izraktajiem materiāliem un grunti būvdarbu gaitā būvlaukumā (kā pielikumu pie izpildes formas). Šī sistēma ietver datu uzskaiti par radītajām masām (augsnes virskārtu un izraktajiem materiāliem), būvlaukumā atkārtoti izmantoto/reciklēto materiālu procentuālajiem rādītājiem un ārpus būvlaukuma atkārtoti izmantoto/reciklēto materiālu procentuālajiem rādītājiem. </w:t>
            </w:r>
          </w:p>
          <w:p w14:paraId="19201C5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Tāpat sistēmā izseko un verificē izrakto materiālu sūtījumu galamērķi. Uzraudzības un izsekošanas datus saskaņā ar iepriekšēju vienošanos regulāri iesniedz līgumslēdzējai iestādei. </w:t>
            </w:r>
          </w:p>
          <w:p w14:paraId="7FEC2FB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veicējs informē pasūtītāju, ja uzskata, ka ir nepieciešama būtiska atkāpe no projektēšanas fāzē iesniegtā izrakto materiālu un grunts apsaimniekošanas plāna, un, ja tas ir pamatoti, tad vienojas par atkāpi. </w:t>
            </w:r>
          </w:p>
        </w:tc>
      </w:tr>
    </w:tbl>
    <w:p w14:paraId="762E1E54" w14:textId="77777777" w:rsidR="000D67AB" w:rsidRPr="004A1D98" w:rsidRDefault="000D67AB" w:rsidP="00426910">
      <w:pPr>
        <w:keepNext/>
        <w:keepLines/>
        <w:spacing w:before="480" w:after="0" w:line="240" w:lineRule="auto"/>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C. ZPI prasības un kritēriji autoceļa izmantošanai</w:t>
      </w:r>
    </w:p>
    <w:tbl>
      <w:tblPr>
        <w:tblStyle w:val="TableGrid4"/>
        <w:tblW w:w="8500" w:type="dxa"/>
        <w:tblLook w:val="04A0" w:firstRow="1" w:lastRow="0" w:firstColumn="1" w:lastColumn="0" w:noHBand="0" w:noVBand="1"/>
      </w:tblPr>
      <w:tblGrid>
        <w:gridCol w:w="2405"/>
        <w:gridCol w:w="6095"/>
      </w:tblGrid>
      <w:tr w:rsidR="000D67AB" w:rsidRPr="004A1D98" w14:paraId="7F30EE6B" w14:textId="77777777" w:rsidTr="000A7815">
        <w:trPr>
          <w:trHeight w:val="552"/>
        </w:trPr>
        <w:tc>
          <w:tcPr>
            <w:tcW w:w="2405" w:type="dxa"/>
            <w:shd w:val="clear" w:color="auto" w:fill="BFBFBF"/>
          </w:tcPr>
          <w:p w14:paraId="624E8017"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Iepirkuma dokumentu sastāvdaļas</w:t>
            </w:r>
          </w:p>
        </w:tc>
        <w:tc>
          <w:tcPr>
            <w:tcW w:w="6095" w:type="dxa"/>
            <w:shd w:val="clear" w:color="auto" w:fill="BFBFBF"/>
          </w:tcPr>
          <w:p w14:paraId="7894CAB1"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ZPI prasības un kritēriji</w:t>
            </w:r>
          </w:p>
        </w:tc>
      </w:tr>
      <w:tr w:rsidR="000D67AB" w:rsidRPr="004A1D98" w14:paraId="2CFC308E" w14:textId="77777777" w:rsidTr="000A7815">
        <w:trPr>
          <w:trHeight w:val="552"/>
        </w:trPr>
        <w:tc>
          <w:tcPr>
            <w:tcW w:w="2405" w:type="dxa"/>
          </w:tcPr>
          <w:p w14:paraId="1337847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Tehniskās specifikācijas</w:t>
            </w:r>
          </w:p>
        </w:tc>
        <w:tc>
          <w:tcPr>
            <w:tcW w:w="6095" w:type="dxa"/>
          </w:tcPr>
          <w:p w14:paraId="53E1C456"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C1. ZEMA TROKŠŅA LĪMEŅA SEGUMU VEIKTSPĒJAS ILGIZTURĪBA </w:t>
            </w:r>
          </w:p>
          <w:p w14:paraId="173601CB"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Ja tas noteikts normatīvajā regulējumā, ka zems trokšņu līmenis ir uzskatāms par prioritāru šim ceļam. </w:t>
            </w:r>
          </w:p>
          <w:p w14:paraId="0DEF877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Zema trokšņa līmeņa ceļa seguma trokšņa emisijas, kas mērītas pēc CPX metodes saskaņā ar piemērojamiem standartiem</w:t>
            </w:r>
            <w:r w:rsidRPr="004A1D98">
              <w:rPr>
                <w:rFonts w:ascii="Times New Roman" w:hAnsi="Times New Roman"/>
                <w:bCs/>
                <w:color w:val="000000"/>
                <w:sz w:val="28"/>
                <w:szCs w:val="28"/>
              </w:rPr>
              <w:t xml:space="preserve">, </w:t>
            </w:r>
            <w:r w:rsidRPr="004A1D98">
              <w:rPr>
                <w:rFonts w:ascii="Times New Roman" w:hAnsi="Times New Roman"/>
                <w:color w:val="000000"/>
                <w:sz w:val="28"/>
                <w:szCs w:val="28"/>
              </w:rPr>
              <w:t xml:space="preserve">kā ceļa posmā maksimālā atļautā ātruma funkcija, nedrīkst pārsniegt šādas robežvērtības piecus gadus pēc atbilstības ražošanas testā: </w:t>
            </w:r>
          </w:p>
          <w:p w14:paraId="392C94FB" w14:textId="77777777" w:rsidR="000D67AB" w:rsidRPr="004A1D98" w:rsidRDefault="000D67AB" w:rsidP="00AB1BBF">
            <w:pPr>
              <w:numPr>
                <w:ilvl w:val="0"/>
                <w:numId w:val="53"/>
              </w:numPr>
              <w:suppressAutoHyphens/>
              <w:spacing w:before="120"/>
              <w:ind w:left="0"/>
              <w:jc w:val="both"/>
              <w:rPr>
                <w:rFonts w:ascii="Times New Roman" w:hAnsi="Times New Roman"/>
                <w:color w:val="000000"/>
                <w:sz w:val="28"/>
                <w:szCs w:val="28"/>
              </w:rPr>
            </w:pPr>
            <w:r w:rsidRPr="004A1D98">
              <w:rPr>
                <w:rFonts w:ascii="Times New Roman" w:hAnsi="Times New Roman"/>
                <w:color w:val="000000"/>
                <w:sz w:val="28"/>
                <w:szCs w:val="28"/>
              </w:rPr>
              <w:t xml:space="preserve">93 dB(A), ja ātrums ir 50 km/h, un/vai </w:t>
            </w:r>
          </w:p>
          <w:p w14:paraId="7E5C3639" w14:textId="77777777" w:rsidR="000D67AB" w:rsidRPr="004A1D98" w:rsidRDefault="000D67AB" w:rsidP="00AB1BBF">
            <w:pPr>
              <w:numPr>
                <w:ilvl w:val="0"/>
                <w:numId w:val="53"/>
              </w:numPr>
              <w:suppressAutoHyphens/>
              <w:spacing w:before="120"/>
              <w:ind w:left="0"/>
              <w:jc w:val="both"/>
              <w:rPr>
                <w:rFonts w:ascii="Times New Roman" w:hAnsi="Times New Roman"/>
                <w:color w:val="000000"/>
                <w:sz w:val="28"/>
                <w:szCs w:val="28"/>
              </w:rPr>
            </w:pPr>
            <w:r w:rsidRPr="004A1D98">
              <w:rPr>
                <w:rFonts w:ascii="Times New Roman" w:hAnsi="Times New Roman"/>
                <w:color w:val="000000"/>
                <w:sz w:val="28"/>
                <w:szCs w:val="28"/>
              </w:rPr>
              <w:t xml:space="preserve">98 dB(A), ja ātrums ir 70 km/h, un/vai </w:t>
            </w:r>
          </w:p>
          <w:p w14:paraId="32992F21" w14:textId="77777777" w:rsidR="000D67AB" w:rsidRPr="004A1D98" w:rsidRDefault="000D67AB" w:rsidP="00AB1BBF">
            <w:pPr>
              <w:numPr>
                <w:ilvl w:val="0"/>
                <w:numId w:val="53"/>
              </w:numPr>
              <w:suppressAutoHyphens/>
              <w:spacing w:before="120"/>
              <w:ind w:left="0"/>
              <w:jc w:val="both"/>
              <w:rPr>
                <w:rFonts w:ascii="Times New Roman" w:hAnsi="Times New Roman"/>
                <w:color w:val="000000"/>
                <w:sz w:val="28"/>
                <w:szCs w:val="28"/>
              </w:rPr>
            </w:pPr>
            <w:r w:rsidRPr="004A1D98">
              <w:rPr>
                <w:rFonts w:ascii="Times New Roman" w:hAnsi="Times New Roman"/>
                <w:color w:val="000000"/>
                <w:sz w:val="28"/>
                <w:szCs w:val="28"/>
              </w:rPr>
              <w:t xml:space="preserve">101 dB (A), ja ātrums ir 90 km/h. </w:t>
            </w:r>
          </w:p>
          <w:p w14:paraId="39B1D9B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Pēc ceļa atvēršanas testēšanu veic vismaz vienu reizi 30 mēnešos. </w:t>
            </w:r>
          </w:p>
          <w:p w14:paraId="76FAC57B"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CPX testēšanas transportlīdzekļiem un/vai piekabēm izmanto radiālo riepu ar tērauda jostu un izmēra kodu P225/60R16, kā noteikts standarta specifikācijā</w:t>
            </w:r>
            <w:r w:rsidRPr="004A1D98">
              <w:rPr>
                <w:rFonts w:ascii="Times New Roman" w:hAnsi="Times New Roman"/>
                <w:bCs/>
                <w:color w:val="000000"/>
                <w:sz w:val="28"/>
                <w:szCs w:val="28"/>
              </w:rPr>
              <w:t xml:space="preserve"> "</w:t>
            </w:r>
            <w:r w:rsidRPr="004A1D98">
              <w:rPr>
                <w:rFonts w:ascii="Times New Roman" w:hAnsi="Times New Roman"/>
                <w:color w:val="000000"/>
                <w:sz w:val="28"/>
                <w:szCs w:val="28"/>
              </w:rPr>
              <w:t xml:space="preserve">P225/60R16 radiālā standarta atsauces testa riepa" (ASTM F2493-14) vai ekvivalenta, ar protektoru ne mazāku par 5 mm. </w:t>
            </w:r>
          </w:p>
          <w:p w14:paraId="0D76E4C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Testēšanas dati jākoriģē atbilstīgi 20 °C gaisa temperatūrai. Testēšanas datu nenoteiktības analīze jāizvērtē saskaņā ar "Norādījumiem par nenoteiktības izteikšanu mērījumos" (ISO/IEC norādījumi Nr. 98-3:2008), vai ekvivalentiem, un testēšanā jāuzrāda, ka rezultāti, arī to nenoteiktība, nepārsniedz iepriekš minētās vai tehniskajā projektā noteiktas ambiciozākas vērtības vairāk nekā par 1 dB(A). </w:t>
            </w:r>
          </w:p>
          <w:p w14:paraId="2532E80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Testētā ceļa posma telpiskajā dispersijā jāparāda, ka nevienā atsevišķā ceļa posma daļā kopējās robežvērtības netiek pārsniegtas vairāk par 2 dB(A). </w:t>
            </w:r>
          </w:p>
        </w:tc>
      </w:tr>
      <w:tr w:rsidR="000D67AB" w:rsidRPr="004A1D98" w14:paraId="391A6C36" w14:textId="77777777" w:rsidTr="000A7815">
        <w:trPr>
          <w:trHeight w:val="552"/>
        </w:trPr>
        <w:tc>
          <w:tcPr>
            <w:tcW w:w="2405" w:type="dxa"/>
          </w:tcPr>
          <w:p w14:paraId="61DF938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Iepirkuma līguma izpildes noteikumi</w:t>
            </w:r>
          </w:p>
        </w:tc>
        <w:tc>
          <w:tcPr>
            <w:tcW w:w="6095" w:type="dxa"/>
          </w:tcPr>
          <w:p w14:paraId="592B50A6"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C2. ZEMA TROKŠŅA LĪMEŅA SEGUMU VEIKTSPĒJAS ILGIZTURĪBA </w:t>
            </w:r>
          </w:p>
          <w:p w14:paraId="6DC1C96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Piecus gadus pēc atbilstības ražošanas testā Būvdarbu veicējs uztic neatkarīgām un kompetentām trešajām personām veikt ceļa segumam CPX trokšņa emisiju testēšanu saskaņā ar tehniskajā specifikācijā C1 norādīto metodi.</w:t>
            </w:r>
          </w:p>
          <w:p w14:paraId="3E58006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Testi jāveic sausos apstākļos un porainiem ceļa segumiem un ne mazāk kā divas dienas pēc lietus. </w:t>
            </w:r>
          </w:p>
          <w:p w14:paraId="51147204"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Ja CPX dati neatbilst attiecīgajām robežvērtībām ilgizturības veiktspējas kritērijam, tad būvdarbu veicējam piemēro finansiālus sodus un/vai uzliek pienākumu veikt labošanas darbus bez papildu izdevumiem pasūtītājam. </w:t>
            </w:r>
          </w:p>
          <w:p w14:paraId="1866F44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Piemērojamo sodu vai koriģējošo darbību kārtība ir skaidri noteikta iepirkuma procedūras dokumentācijā. </w:t>
            </w:r>
          </w:p>
          <w:p w14:paraId="40B6D03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C3. CEĻA UZTURĒŠANAS UN ATJAUNOŠANAS PLĀNA NODOŠANA </w:t>
            </w:r>
          </w:p>
          <w:p w14:paraId="405EA832"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Šis variants attiecas uz PBE līgumiem, kuros paredzēts, ka uzraudzību veic PBE būvdarbu veicējs.</w:t>
            </w:r>
          </w:p>
          <w:p w14:paraId="0A675451"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PBE būvdarbu veicējs informē pasūtītāju, ja uzskata, ka ir nepieciešama būtiska atkāpe no projektēšanas fāzē iesniegtā uzturēšanas un atjaunošanas plāna, un, ja tas ir pamatoti, vienojas par atkāpi. </w:t>
            </w:r>
          </w:p>
        </w:tc>
      </w:tr>
    </w:tbl>
    <w:p w14:paraId="45B623B7" w14:textId="77777777" w:rsidR="000D67AB" w:rsidRPr="004A1D98" w:rsidRDefault="000D67AB" w:rsidP="00426910">
      <w:pPr>
        <w:keepNext/>
        <w:keepLines/>
        <w:spacing w:before="480" w:after="0" w:line="240" w:lineRule="auto"/>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D. ZPI prasības un kritēriji ceļu uzturēšanai un ekspluatācijai</w:t>
      </w:r>
    </w:p>
    <w:tbl>
      <w:tblPr>
        <w:tblStyle w:val="TableGrid4"/>
        <w:tblW w:w="8500" w:type="dxa"/>
        <w:tblLook w:val="04A0" w:firstRow="1" w:lastRow="0" w:firstColumn="1" w:lastColumn="0" w:noHBand="0" w:noVBand="1"/>
      </w:tblPr>
      <w:tblGrid>
        <w:gridCol w:w="2405"/>
        <w:gridCol w:w="6095"/>
      </w:tblGrid>
      <w:tr w:rsidR="000D67AB" w:rsidRPr="004A1D98" w14:paraId="4CEDCC9A" w14:textId="77777777" w:rsidTr="000A7815">
        <w:trPr>
          <w:trHeight w:val="552"/>
        </w:trPr>
        <w:tc>
          <w:tcPr>
            <w:tcW w:w="2405" w:type="dxa"/>
            <w:shd w:val="clear" w:color="auto" w:fill="BFBFBF"/>
          </w:tcPr>
          <w:p w14:paraId="778503FC"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Iepirkuma dokumentu sastāvdaļas</w:t>
            </w:r>
          </w:p>
        </w:tc>
        <w:tc>
          <w:tcPr>
            <w:tcW w:w="6095" w:type="dxa"/>
            <w:shd w:val="clear" w:color="auto" w:fill="BFBFBF"/>
          </w:tcPr>
          <w:p w14:paraId="44F6D8F3"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ZPI prasības un kritēriji</w:t>
            </w:r>
          </w:p>
        </w:tc>
      </w:tr>
      <w:tr w:rsidR="000D67AB" w:rsidRPr="004A1D98" w14:paraId="4EBF18DC" w14:textId="77777777" w:rsidTr="000A7815">
        <w:trPr>
          <w:trHeight w:val="552"/>
        </w:trPr>
        <w:tc>
          <w:tcPr>
            <w:tcW w:w="2405" w:type="dxa"/>
          </w:tcPr>
          <w:p w14:paraId="59CF001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Tehniskās specifikācijas</w:t>
            </w:r>
          </w:p>
        </w:tc>
        <w:tc>
          <w:tcPr>
            <w:tcW w:w="6095" w:type="dxa"/>
          </w:tcPr>
          <w:p w14:paraId="7544665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D1. BITUMENA SATUROŠS ASFALTS </w:t>
            </w:r>
          </w:p>
          <w:p w14:paraId="5C1844CB" w14:textId="77777777" w:rsidR="000D67AB" w:rsidRPr="004A1D98" w:rsidRDefault="000D67AB" w:rsidP="00426910">
            <w:pPr>
              <w:spacing w:before="120"/>
              <w:jc w:val="both"/>
              <w:rPr>
                <w:rFonts w:ascii="Times New Roman" w:hAnsi="Times New Roman"/>
                <w:i/>
                <w:color w:val="000000"/>
                <w:sz w:val="28"/>
                <w:szCs w:val="28"/>
              </w:rPr>
            </w:pPr>
            <w:r w:rsidRPr="004A1D98">
              <w:rPr>
                <w:rFonts w:ascii="Times New Roman" w:hAnsi="Times New Roman"/>
                <w:i/>
                <w:color w:val="000000"/>
                <w:sz w:val="28"/>
                <w:szCs w:val="28"/>
              </w:rPr>
              <w:t xml:space="preserve">Pasūtītājs var piemērot šo kritēriju, ja virsmas (virsma + seguma apakškārtas) un pamata virskārtas slāņa(-u) bitumena saturs pārsniedz normatīvajā regulējumā noteikto robežvērtību. </w:t>
            </w:r>
          </w:p>
          <w:p w14:paraId="2A140A5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Ja bitumena saturs atgūstamajā asfaltā pārsniedz valsts regulējumā noteikto robežvērtību, tad bitumena saturoša otrreiz izmantojamā asfalta pārstrādē izmanto vislabākās iespējamās tehnoloģijas (atbilstīgi tam, kas tiek uzskatīta par vislabāko iespējamo tehnoloģiju atkarībā no vietējās situācijas) un to izmantošanu apraksta tehniskajā ziņojumā. </w:t>
            </w:r>
          </w:p>
          <w:p w14:paraId="5DDEA432"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D2. BŪVNIECĪBAS UN DEMONTĀŽAS ATKRITUMU AUDITS UN APSAIMNIEKOŠANAS PLĀNS </w:t>
            </w:r>
          </w:p>
          <w:p w14:paraId="414DE92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Vismaz 70 procenti (masas procenti) nebīstamo atkritumu, kas rodas būvniecības un demontāžas laikā, tostarp aizbēršanai izmantoto materiālu, sagatavo otrreizējai izmantošanai, atkārtotai pārstrādāšanai vai reciklēšanai un citiem materiālu atgūšanas veidiem. Te ietilpst: </w:t>
            </w:r>
          </w:p>
          <w:p w14:paraId="64F678F3"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  betoncements, atgūtā asfalta sega, pildvielas, kas reģenerētas no galvenajiem ceļa elementiem; </w:t>
            </w:r>
          </w:p>
          <w:p w14:paraId="5E8ADED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(ii)  materiāli, kas reģenerēti no palīgelementiem. </w:t>
            </w:r>
          </w:p>
          <w:p w14:paraId="1092B7EB"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Aizbēršana nav atļauta neapbūvētā teritorijā ārpus ceļa. Atļautās vietās ceļa teritorijā aizbēršana veicama tikai ar izraktajiem materiāliem un grunti. Atkārtoti izmantoto, reciklēto un atgūto materiālu aizbēršanai izmanto tikai necaurlaidīgās ceļa teritorijās. </w:t>
            </w:r>
          </w:p>
          <w:p w14:paraId="67A66A7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veicējs veic pirmsdemontāžas auditu, lai noteiktu, kādus materiālus var izmantot atkārtoti, reciklēt vai atgūt. Te ietilpst: </w:t>
            </w:r>
          </w:p>
          <w:p w14:paraId="76503F7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  bīstamu atkritumu identificēšana un riska novērtēšana; </w:t>
            </w:r>
          </w:p>
          <w:p w14:paraId="7FA05E7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(ii)  tāme, kurā atsevišķi uzskaitīti dažādi būvmateriāli un izstrādājumi; </w:t>
            </w:r>
          </w:p>
          <w:p w14:paraId="46552D7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(iii)  aplēse par atkārtotas izmantošanas un pārstrādes potenciālu procentos, pamatojoties uz to, kādas dalītas vākšanas sistēmas ierosināts izmantot nojaukšanas procesā. </w:t>
            </w:r>
          </w:p>
          <w:p w14:paraId="4CBECCAE"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Identificētos materiālus, izstrādājumus un elementus uzskaita nojaukšanas darbu tāmē. </w:t>
            </w:r>
          </w:p>
        </w:tc>
      </w:tr>
      <w:tr w:rsidR="000D67AB" w:rsidRPr="004A1D98" w14:paraId="5196E69A" w14:textId="77777777" w:rsidTr="000A7815">
        <w:trPr>
          <w:trHeight w:val="552"/>
        </w:trPr>
        <w:tc>
          <w:tcPr>
            <w:tcW w:w="2405" w:type="dxa"/>
          </w:tcPr>
          <w:p w14:paraId="14298E1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Iepirkuma līguma izpildes noteikumi</w:t>
            </w:r>
          </w:p>
        </w:tc>
        <w:tc>
          <w:tcPr>
            <w:tcW w:w="6095" w:type="dxa"/>
          </w:tcPr>
          <w:p w14:paraId="193D8803"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D3. CEĻA UZTURĒŠANAS UN ATJAUNOŠANAS PLĀNA NODOŠANA </w:t>
            </w:r>
          </w:p>
          <w:p w14:paraId="6897ABA3"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veicējs apņemas uzturēt ceļu saskaņā ar uzturēšanas un atjaunošanas plānu (skatīt B12 prasību). </w:t>
            </w:r>
          </w:p>
          <w:p w14:paraId="1DA0702C"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 xml:space="preserve">D4. CEĻA UZTURĒŠANAS ĪSTENOŠANA </w:t>
            </w:r>
          </w:p>
          <w:p w14:paraId="2EFC074D"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Galvenajam uzturēšanas piegādātājam jānodrošina, lai ceļa uzturēšana tiek veikta atbilstīgi saskaņotajam tehniskajam projektam un specifikācijām. Ieteicams pievērst īpašu uzmanību šādiem aspektiem: </w:t>
            </w:r>
          </w:p>
          <w:p w14:paraId="15B0DB1C" w14:textId="77777777" w:rsidR="000D67AB" w:rsidRPr="004A1D98" w:rsidRDefault="000D67AB" w:rsidP="00426910">
            <w:pPr>
              <w:spacing w:before="120" w:beforeAutospacing="1" w:after="120" w:afterAutospacing="1"/>
              <w:ind w:hanging="709"/>
              <w:jc w:val="both"/>
              <w:rPr>
                <w:rFonts w:ascii="Times New Roman" w:hAnsi="Times New Roman"/>
                <w:color w:val="000000"/>
                <w:sz w:val="28"/>
                <w:szCs w:val="28"/>
              </w:rPr>
            </w:pPr>
            <w:r w:rsidRPr="004A1D98">
              <w:rPr>
                <w:rFonts w:ascii="Times New Roman" w:hAnsi="Times New Roman"/>
                <w:color w:val="000000"/>
                <w:sz w:val="28"/>
                <w:szCs w:val="28"/>
              </w:rPr>
              <w:t>D.4.1. ceļa galveno elementu OP/ACN raksturlielumiem (A14 kritērijs) vai CO</w:t>
            </w:r>
            <w:r w:rsidRPr="004A1D98">
              <w:rPr>
                <w:rFonts w:ascii="Times New Roman" w:hAnsi="Times New Roman"/>
                <w:color w:val="000000"/>
                <w:sz w:val="28"/>
                <w:szCs w:val="28"/>
                <w:vertAlign w:val="subscript"/>
              </w:rPr>
              <w:t xml:space="preserve">2 </w:t>
            </w:r>
            <w:r w:rsidRPr="004A1D98">
              <w:rPr>
                <w:rFonts w:ascii="Times New Roman" w:hAnsi="Times New Roman"/>
                <w:color w:val="000000"/>
                <w:sz w:val="28"/>
                <w:szCs w:val="28"/>
              </w:rPr>
              <w:t xml:space="preserve">emisijām uz tonnu transportēto materiālu (A16 kritērijs); </w:t>
            </w:r>
          </w:p>
          <w:p w14:paraId="3CD2753F" w14:textId="77777777" w:rsidR="000D67AB" w:rsidRPr="004A1D98" w:rsidRDefault="000D67AB" w:rsidP="00426910">
            <w:pPr>
              <w:spacing w:before="120"/>
              <w:ind w:hanging="743"/>
              <w:jc w:val="both"/>
              <w:rPr>
                <w:rFonts w:ascii="Times New Roman" w:hAnsi="Times New Roman"/>
                <w:color w:val="000000"/>
                <w:sz w:val="28"/>
                <w:szCs w:val="28"/>
              </w:rPr>
            </w:pPr>
            <w:r w:rsidRPr="004A1D98">
              <w:rPr>
                <w:rFonts w:ascii="Times New Roman" w:hAnsi="Times New Roman"/>
                <w:color w:val="000000"/>
                <w:sz w:val="28"/>
                <w:szCs w:val="28"/>
              </w:rPr>
              <w:t xml:space="preserve">D.4.2. ūdens piesārņojuma kontroles komponentiem, lietus ūdens aizturēšanas kapacitātei, vidiskās integrācijas un atjaunošanas plānam un savvaļas dzīvnieku tuneļa projektam ūdens novades sistēmā (A3, A4, A5, A17, A18, A19 kritērijs); </w:t>
            </w:r>
          </w:p>
          <w:p w14:paraId="70E8D4F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D.4.3. ceļa seguma ilgizturībai (A11 kritērijs); </w:t>
            </w:r>
          </w:p>
          <w:p w14:paraId="2F3E0056"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D.4.4. satiksmes sastrēgumu mazināšanas plāna ieviešanai (A10 kritērijs). </w:t>
            </w:r>
          </w:p>
          <w:p w14:paraId="789FB48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Būvdarbu veicējs informē pasūtītāju, ja būvniecības fāzē tiek apsvērta nepieciešamība pēc būtiskas atkāpes no projektā izvirzītajām prasībām, un, ja tas ir pamatoti, vienojas par atkāpi. </w:t>
            </w:r>
          </w:p>
          <w:p w14:paraId="21DDEF0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Gadījumiem, kad nevar vienoties, līguma noteikumos jāparedz iepriekš noteikta kārtība, lai lemtu par atbilstīgām un samērīgām soda sankcijām sakarā ar neatbilstību un/vai koriģējošiem vai seku mazināšanas pasākumiem. </w:t>
            </w:r>
          </w:p>
          <w:p w14:paraId="5A285BD3" w14:textId="77777777" w:rsidR="000D67AB" w:rsidRPr="004A1D98" w:rsidRDefault="000D67AB" w:rsidP="00426910">
            <w:pPr>
              <w:spacing w:before="100" w:beforeAutospacing="1" w:after="100" w:afterAutospacing="1"/>
              <w:jc w:val="both"/>
              <w:rPr>
                <w:rFonts w:ascii="Times New Roman" w:hAnsi="Times New Roman"/>
                <w:color w:val="000000"/>
                <w:sz w:val="28"/>
                <w:szCs w:val="28"/>
              </w:rPr>
            </w:pPr>
            <w:r w:rsidRPr="004A1D98">
              <w:rPr>
                <w:rFonts w:ascii="Times New Roman" w:hAnsi="Times New Roman"/>
                <w:color w:val="000000"/>
                <w:sz w:val="28"/>
                <w:szCs w:val="28"/>
              </w:rPr>
              <w:t xml:space="preserve">D5. ATKĀRTOTI PĀRSTRĀDĀTA UN RECIKLĒTA SATURA IZMANTOŠANA </w:t>
            </w:r>
          </w:p>
          <w:p w14:paraId="59579DE5"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Tāpat kā B2. </w:t>
            </w:r>
          </w:p>
          <w:p w14:paraId="115137C8"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 xml:space="preserve">D6. ZEMAS TEMPERATŪRAS ASFALTA UZRAUDZĪBA </w:t>
            </w:r>
          </w:p>
          <w:p w14:paraId="73D5A21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Tāpat kā B3. </w:t>
            </w:r>
          </w:p>
          <w:p w14:paraId="65B8FDB0"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D7. VIDES INTEGRĀCIJAS UN ATJAUNOŠANAS PLĀNA ĪSTENOŠANA </w:t>
            </w:r>
          </w:p>
          <w:p w14:paraId="04E929F9"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Darbu laikā būvdarbu veicējs pārliecinās, ka tiek veiktas atbilstīgas darbības, lai izveidotu veģetācijas segumu un varētu saglabāt biotopa kvalitāti. Cita starpā tās var būt šādas: mulčas/komposta ieklāšana, atzarošana, bojā gājušo augu aizstāšana utt. </w:t>
            </w:r>
          </w:p>
          <w:p w14:paraId="7FFBF18C"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Ja ir neapmierinoši vai neatbilstīgi rezultāti, skatīt vispārējā līguma izpildes noteikumus D4. </w:t>
            </w:r>
          </w:p>
          <w:p w14:paraId="7F6E7B9F"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D8. TROKŠŅA EMISIJAS UZRAUDZĪBA UZTURĒŠANAS LAIKĀ </w:t>
            </w:r>
          </w:p>
          <w:p w14:paraId="4C897507"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Tāpat kā B11. </w:t>
            </w:r>
          </w:p>
          <w:p w14:paraId="505B678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D9. SATIKSMES SASTRĒGUMU MAZINĀŠANAS PLĀNA ĪSTENOŠANA </w:t>
            </w:r>
          </w:p>
          <w:p w14:paraId="5D9FAC03"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Tāpat kā B13. </w:t>
            </w:r>
          </w:p>
        </w:tc>
      </w:tr>
    </w:tbl>
    <w:p w14:paraId="251970EC" w14:textId="77777777" w:rsidR="000D67AB" w:rsidRPr="004A1D98" w:rsidRDefault="000D67AB" w:rsidP="00426910">
      <w:pPr>
        <w:spacing w:before="120" w:after="120" w:line="264" w:lineRule="auto"/>
        <w:jc w:val="both"/>
        <w:rPr>
          <w:rFonts w:ascii="Times New Roman" w:eastAsia="SimSun" w:hAnsi="Times New Roman" w:cs="Times New Roman"/>
          <w:b/>
          <w:color w:val="000000"/>
          <w:sz w:val="28"/>
          <w:szCs w:val="28"/>
          <w:lang w:val="lv-LV"/>
        </w:rPr>
      </w:pPr>
    </w:p>
    <w:p w14:paraId="5C0DD271" w14:textId="77777777" w:rsidR="000D67AB" w:rsidRPr="004A1D98" w:rsidRDefault="000D67AB" w:rsidP="00426910">
      <w:pPr>
        <w:keepNext/>
        <w:keepLines/>
        <w:spacing w:before="480" w:after="0" w:line="240" w:lineRule="auto"/>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E. ZPI prasības aprites cikla beigām</w:t>
      </w:r>
    </w:p>
    <w:tbl>
      <w:tblPr>
        <w:tblStyle w:val="TableGrid4"/>
        <w:tblW w:w="8500" w:type="dxa"/>
        <w:tblLook w:val="04A0" w:firstRow="1" w:lastRow="0" w:firstColumn="1" w:lastColumn="0" w:noHBand="0" w:noVBand="1"/>
      </w:tblPr>
      <w:tblGrid>
        <w:gridCol w:w="2405"/>
        <w:gridCol w:w="6095"/>
      </w:tblGrid>
      <w:tr w:rsidR="000D67AB" w:rsidRPr="004A1D98" w14:paraId="1F76404B" w14:textId="77777777" w:rsidTr="000A7815">
        <w:trPr>
          <w:trHeight w:val="552"/>
        </w:trPr>
        <w:tc>
          <w:tcPr>
            <w:tcW w:w="2405" w:type="dxa"/>
            <w:shd w:val="clear" w:color="auto" w:fill="BFBFBF"/>
          </w:tcPr>
          <w:p w14:paraId="194F288C"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Iepirkuma dokumentu sastāvdaļas</w:t>
            </w:r>
          </w:p>
        </w:tc>
        <w:tc>
          <w:tcPr>
            <w:tcW w:w="6095" w:type="dxa"/>
            <w:shd w:val="clear" w:color="auto" w:fill="BFBFBF"/>
          </w:tcPr>
          <w:p w14:paraId="0CD34121" w14:textId="77777777" w:rsidR="000D67AB" w:rsidRPr="004A1D98" w:rsidRDefault="000D67AB" w:rsidP="00426910">
            <w:pPr>
              <w:spacing w:before="120"/>
              <w:jc w:val="center"/>
              <w:rPr>
                <w:rFonts w:ascii="Times New Roman" w:hAnsi="Times New Roman"/>
                <w:b/>
                <w:color w:val="000000"/>
                <w:sz w:val="28"/>
                <w:szCs w:val="28"/>
              </w:rPr>
            </w:pPr>
            <w:r w:rsidRPr="004A1D98">
              <w:rPr>
                <w:rFonts w:ascii="Times New Roman" w:hAnsi="Times New Roman"/>
                <w:b/>
                <w:color w:val="000000"/>
                <w:sz w:val="28"/>
                <w:szCs w:val="28"/>
              </w:rPr>
              <w:t xml:space="preserve">ZPI prasība </w:t>
            </w:r>
          </w:p>
        </w:tc>
      </w:tr>
      <w:tr w:rsidR="000D67AB" w:rsidRPr="004A1D98" w14:paraId="06F34CE4" w14:textId="77777777" w:rsidTr="000A7815">
        <w:trPr>
          <w:trHeight w:val="552"/>
        </w:trPr>
        <w:tc>
          <w:tcPr>
            <w:tcW w:w="2405" w:type="dxa"/>
          </w:tcPr>
          <w:p w14:paraId="168D44A8"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Tehniskās specifikācijas</w:t>
            </w:r>
          </w:p>
        </w:tc>
        <w:tc>
          <w:tcPr>
            <w:tcW w:w="6095" w:type="dxa"/>
          </w:tcPr>
          <w:p w14:paraId="448F987A"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E1. NOJAUKŠANAS ATKRITUMU AUDITS UN APSAIMNIEKOŠANAS PLĀNS </w:t>
            </w:r>
          </w:p>
          <w:p w14:paraId="53D96A0B" w14:textId="77777777" w:rsidR="000D67AB" w:rsidRPr="004A1D98" w:rsidRDefault="000D67AB" w:rsidP="00426910">
            <w:pPr>
              <w:spacing w:before="120"/>
              <w:jc w:val="both"/>
              <w:rPr>
                <w:rFonts w:ascii="Times New Roman" w:hAnsi="Times New Roman"/>
                <w:color w:val="000000"/>
                <w:sz w:val="28"/>
                <w:szCs w:val="28"/>
              </w:rPr>
            </w:pPr>
            <w:r w:rsidRPr="004A1D98">
              <w:rPr>
                <w:rFonts w:ascii="Times New Roman" w:hAnsi="Times New Roman"/>
                <w:color w:val="000000"/>
                <w:sz w:val="28"/>
                <w:szCs w:val="28"/>
              </w:rPr>
              <w:t xml:space="preserve">Tāpat kā D2. </w:t>
            </w:r>
          </w:p>
          <w:p w14:paraId="56C60D26" w14:textId="77777777" w:rsidR="000D67AB" w:rsidRPr="004A1D98" w:rsidRDefault="000D67AB" w:rsidP="00426910">
            <w:pPr>
              <w:spacing w:before="120"/>
              <w:jc w:val="both"/>
              <w:rPr>
                <w:rFonts w:ascii="Times New Roman" w:hAnsi="Times New Roman"/>
                <w:color w:val="000000"/>
                <w:sz w:val="28"/>
                <w:szCs w:val="28"/>
              </w:rPr>
            </w:pPr>
          </w:p>
        </w:tc>
      </w:tr>
    </w:tbl>
    <w:p w14:paraId="36DFC366" w14:textId="77777777" w:rsidR="000D67AB" w:rsidRPr="004A1D98" w:rsidRDefault="000D67AB" w:rsidP="00426910">
      <w:pPr>
        <w:spacing w:after="120" w:line="264" w:lineRule="auto"/>
        <w:rPr>
          <w:rFonts w:ascii="Times New Roman" w:eastAsia="SimSun" w:hAnsi="Times New Roman" w:cs="Times New Roman"/>
          <w:b/>
          <w:color w:val="000000"/>
          <w:sz w:val="28"/>
          <w:szCs w:val="28"/>
          <w:lang w:val="lv-LV"/>
        </w:rPr>
      </w:pPr>
      <w:r w:rsidRPr="004A1D98">
        <w:rPr>
          <w:rFonts w:ascii="Times New Roman" w:eastAsia="SimSun" w:hAnsi="Times New Roman" w:cs="Times New Roman"/>
          <w:b/>
          <w:color w:val="000000"/>
          <w:sz w:val="28"/>
          <w:szCs w:val="28"/>
          <w:lang w:val="lv-LV"/>
        </w:rPr>
        <w:br w:type="page"/>
      </w:r>
    </w:p>
    <w:p w14:paraId="4157F121" w14:textId="77777777" w:rsidR="000D67AB" w:rsidRPr="004A1D98" w:rsidRDefault="000D67AB" w:rsidP="00426910">
      <w:pPr>
        <w:spacing w:before="120" w:after="120" w:line="264" w:lineRule="auto"/>
        <w:jc w:val="both"/>
        <w:rPr>
          <w:rFonts w:ascii="Times New Roman" w:eastAsia="SimSun" w:hAnsi="Times New Roman" w:cs="Times New Roman"/>
          <w:b/>
          <w:color w:val="000000"/>
          <w:sz w:val="28"/>
          <w:szCs w:val="28"/>
          <w:lang w:val="lv-LV"/>
        </w:rPr>
      </w:pPr>
      <w:r w:rsidRPr="004A1D98">
        <w:rPr>
          <w:rFonts w:ascii="Times New Roman" w:eastAsia="SimSun" w:hAnsi="Times New Roman" w:cs="Times New Roman"/>
          <w:b/>
          <w:color w:val="000000"/>
          <w:sz w:val="28"/>
          <w:szCs w:val="28"/>
          <w:lang w:val="lv-LV"/>
        </w:rPr>
        <w:t>2.2. Tehniskie pielikumi</w:t>
      </w:r>
    </w:p>
    <w:p w14:paraId="65CA46F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A pielikums </w:t>
      </w:r>
    </w:p>
    <w:p w14:paraId="1C126D7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A14 kritērija  papildnorādījumi: 1. variants — oglekļa dioksīda pēda (OP)</w:t>
      </w:r>
    </w:p>
    <w:p w14:paraId="09FE5D5A"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Piedāvājuma izvērtēšanas kritērijā A14 ir noteikts, ka pretendenti var izmantot oglekļa pēdu (OP), lai pierādītu kā tie ir samazinājuši ceļa būves ietekmi uz vidi. Šajā īsajā aprakstā izklāstīts: </w:t>
      </w:r>
    </w:p>
    <w:p w14:paraId="7E50077B"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kad kritēriju var izmantot; </w:t>
      </w:r>
    </w:p>
    <w:p w14:paraId="5F3BE5F4"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kādi noteikumi nepieciešami, lai nodrošinātu piedāvājumu salīdzināmību; </w:t>
      </w:r>
    </w:p>
    <w:p w14:paraId="17F1AD9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kāds tehniskais atbalsts nepieciešams piedāvājumu atlasei. </w:t>
      </w:r>
    </w:p>
    <w:p w14:paraId="2D9E300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OP vienmēr izmanto, atsaucoties uz piemērojamiem standartiem. </w:t>
      </w:r>
    </w:p>
    <w:p w14:paraId="28A688FE" w14:textId="77777777" w:rsidR="000D67AB" w:rsidRPr="004A1D98" w:rsidRDefault="000D67AB" w:rsidP="00AB1BBF">
      <w:pPr>
        <w:numPr>
          <w:ilvl w:val="0"/>
          <w:numId w:val="54"/>
        </w:numPr>
        <w:suppressAutoHyphens/>
        <w:autoSpaceDN w:val="0"/>
        <w:spacing w:before="120" w:after="120" w:line="264" w:lineRule="auto"/>
        <w:ind w:left="0" w:firstLine="0"/>
        <w:jc w:val="both"/>
        <w:textAlignment w:val="baseline"/>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 Kad var izmantot OP 1. variantu? </w:t>
      </w:r>
    </w:p>
    <w:p w14:paraId="17E22E13"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Kritērija A14 izmantošana iesakāma tikai tad, ja ir iespējama uzlabojumu salīdzināšana ar atsauces ceļa projektu un/vai starp dažādiem ceļa projektiem. Tāpēc šis variants attiecas uz šādiem iepirkuma scenārijiem: </w:t>
      </w:r>
    </w:p>
    <w:p w14:paraId="5B0E5269" w14:textId="77777777" w:rsidR="000D67AB" w:rsidRPr="004A1D98" w:rsidRDefault="000D67AB" w:rsidP="00004DA8">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1.1. ja pasūtītājam jau ir atsauces ceļa projekts un tāme, un tā izvērtēšanas gaitā ir izkristalizējusies orientējošā cena, ar kuru salīdzina piedāvājumus; </w:t>
      </w:r>
    </w:p>
    <w:p w14:paraId="4F7C793C" w14:textId="77777777" w:rsidR="000D67AB" w:rsidRPr="004A1D98" w:rsidRDefault="000D67AB" w:rsidP="00004DA8">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1.2. ja projektu konkursu izmanto, lai veicinātu inovatīvu ceļu projektu piedāvājumus, ko virza projektētāji un/vai darbuzņēmēji. </w:t>
      </w:r>
    </w:p>
    <w:p w14:paraId="7543CCA2"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Šajos gadījumos var noteikt, ka viens no līguma piešķiršanas nosacījumiem ir OP analīze. </w:t>
      </w:r>
    </w:p>
    <w:p w14:paraId="450E5AE3"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2. Vai pieteikumu vērtēšanai būs nepieciešamas speciālas zināšanas? </w:t>
      </w:r>
    </w:p>
    <w:p w14:paraId="52C1900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Ikvienā ceļa būvniecības un uzturēšanas iepirkumā pasūtītājam, visticamāk, būs nepieciešamas kādas speciālas projektēšanas un tehniskās zināšanas. Tas nepieciešams, lai noteiktu prasības un vērtētu projektus. Pasūtītājs varētu pieaicināt ekspertus divos iepirkuma procesa posmos. </w:t>
      </w:r>
    </w:p>
    <w:p w14:paraId="66BE5286" w14:textId="77777777" w:rsidR="000D67AB" w:rsidRPr="004A1D98" w:rsidRDefault="000D67AB" w:rsidP="00004DA8">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2.1. Projektēšanas uzdevuma un efektivitātes prasību izstrāde: piegādātājiem sniedz norādījumus par tehniskajām prasībām, kas ir jāievēro, lai nodrošinātu iesniegto projektu salīdzināmību. </w:t>
      </w:r>
    </w:p>
    <w:p w14:paraId="2E70C88E" w14:textId="77777777" w:rsidR="000D67AB" w:rsidRPr="004A1D98" w:rsidRDefault="000D67AB" w:rsidP="00AB1BBF">
      <w:pPr>
        <w:numPr>
          <w:ilvl w:val="1"/>
          <w:numId w:val="55"/>
        </w:numPr>
        <w:spacing w:before="120" w:after="120" w:line="264" w:lineRule="auto"/>
        <w:ind w:left="0" w:firstLine="0"/>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Projektu un uzlabojumu iespēju vērtēšana: jāveic tehnisks novērtējums par to, kā piegādātāji ir ievērojuši šo kritēriju, lai pasūtītājs varētu pieņemt lēmumu. </w:t>
      </w:r>
    </w:p>
    <w:p w14:paraId="37CABC50"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Tehniskajam vērtētājam ir kritiski jāpārskata katra piegādātāja OP analīze, saskaņā ar C pielikumā sniegtajiem norādījumiem. </w:t>
      </w:r>
    </w:p>
    <w:p w14:paraId="77A722E6" w14:textId="77777777" w:rsidR="000D67AB" w:rsidRPr="004A1D98" w:rsidRDefault="000D67AB" w:rsidP="00426910">
      <w:pPr>
        <w:spacing w:before="120" w:beforeAutospacing="1" w:after="120" w:afterAutospacing="1" w:line="240" w:lineRule="auto"/>
        <w:ind w:firstLine="426"/>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3. Kādi norādījumi jādod piegādātājiem? </w:t>
      </w:r>
    </w:p>
    <w:p w14:paraId="61F2C997"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Lai nodrošinātu iesniegto piedāvājumu salīdzināmību, iepirkumu procedūras dokumentācijā ir jāiestrādā šādi tehniskie norādījumi. Ja iesniegtos piedāvājumus vērtē, pamatojoties uz atsauces ceļu, tas ir skaidri jānorāda, kā arī jāiesniedz tāme par paredzētajiem materiāliem. </w:t>
      </w:r>
    </w:p>
    <w:p w14:paraId="3A2C7F65"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Tehniskie norādījumi piegādātājiem, ja ceļa novērtēšanā izmanto OP </w:t>
      </w:r>
    </w:p>
    <w:tbl>
      <w:tblPr>
        <w:tblStyle w:val="TableGrid4"/>
        <w:tblW w:w="0" w:type="auto"/>
        <w:tblLook w:val="04A0" w:firstRow="1" w:lastRow="0" w:firstColumn="1" w:lastColumn="0" w:noHBand="0" w:noVBand="1"/>
      </w:tblPr>
      <w:tblGrid>
        <w:gridCol w:w="2637"/>
        <w:gridCol w:w="5993"/>
      </w:tblGrid>
      <w:tr w:rsidR="000D67AB" w:rsidRPr="004A1D98" w14:paraId="47538944" w14:textId="77777777" w:rsidTr="000A7815">
        <w:tc>
          <w:tcPr>
            <w:tcW w:w="3397" w:type="dxa"/>
          </w:tcPr>
          <w:p w14:paraId="582021DA" w14:textId="77777777" w:rsidR="000D67AB" w:rsidRPr="004A1D98" w:rsidRDefault="000D67AB" w:rsidP="00426910">
            <w:pPr>
              <w:spacing w:before="100" w:beforeAutospacing="1" w:after="100" w:afterAutospacing="1"/>
              <w:jc w:val="both"/>
              <w:rPr>
                <w:rFonts w:ascii="Times New Roman" w:hAnsi="Times New Roman"/>
                <w:b/>
                <w:color w:val="000000"/>
                <w:sz w:val="28"/>
                <w:szCs w:val="28"/>
                <w:lang w:eastAsia="en-GB"/>
              </w:rPr>
            </w:pPr>
            <w:r w:rsidRPr="004A1D98">
              <w:rPr>
                <w:rFonts w:ascii="Times New Roman" w:hAnsi="Times New Roman"/>
                <w:b/>
                <w:color w:val="000000"/>
                <w:sz w:val="28"/>
                <w:szCs w:val="28"/>
                <w:lang w:eastAsia="en-GB"/>
              </w:rPr>
              <w:t xml:space="preserve">Attiecīgais tehniskais aspekts </w:t>
            </w:r>
          </w:p>
        </w:tc>
        <w:tc>
          <w:tcPr>
            <w:tcW w:w="10548" w:type="dxa"/>
          </w:tcPr>
          <w:p w14:paraId="63BF9211" w14:textId="77777777" w:rsidR="000D67AB" w:rsidRPr="004A1D98" w:rsidRDefault="000D67AB" w:rsidP="00426910">
            <w:pPr>
              <w:spacing w:before="100" w:beforeAutospacing="1" w:after="100" w:afterAutospacing="1"/>
              <w:jc w:val="both"/>
              <w:rPr>
                <w:rFonts w:ascii="Times New Roman" w:hAnsi="Times New Roman"/>
                <w:b/>
                <w:color w:val="000000"/>
                <w:sz w:val="28"/>
                <w:szCs w:val="28"/>
                <w:lang w:eastAsia="en-GB"/>
              </w:rPr>
            </w:pPr>
            <w:r w:rsidRPr="004A1D98">
              <w:rPr>
                <w:rFonts w:ascii="Times New Roman" w:hAnsi="Times New Roman"/>
                <w:b/>
                <w:color w:val="000000"/>
                <w:sz w:val="28"/>
                <w:szCs w:val="28"/>
                <w:lang w:eastAsia="en-GB"/>
              </w:rPr>
              <w:t xml:space="preserve">Praktiskā nozīme </w:t>
            </w:r>
          </w:p>
        </w:tc>
      </w:tr>
      <w:tr w:rsidR="000D67AB" w:rsidRPr="004A1D98" w14:paraId="763DEB8E" w14:textId="77777777" w:rsidTr="000A7815">
        <w:tc>
          <w:tcPr>
            <w:tcW w:w="3397" w:type="dxa"/>
          </w:tcPr>
          <w:p w14:paraId="6AC5CF8A"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a) Metode un inventarizācijas dati </w:t>
            </w:r>
          </w:p>
        </w:tc>
        <w:tc>
          <w:tcPr>
            <w:tcW w:w="10548" w:type="dxa"/>
          </w:tcPr>
          <w:p w14:paraId="41B7D92B"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Salīdzināmības nodrošināšanas labad, cik iespējams, norāda ietekmes novērtēšanas metodi un aprites cikla inventarizācijas datus, ko izmantos katra projektētāju grupa. </w:t>
            </w:r>
          </w:p>
          <w:p w14:paraId="45132029" w14:textId="77777777" w:rsidR="000D67AB" w:rsidRPr="004A1D98" w:rsidRDefault="000D67AB" w:rsidP="00426910">
            <w:pPr>
              <w:spacing w:before="120" w:beforeAutospacing="1" w:after="120" w:afterAutospacing="1"/>
              <w:jc w:val="both"/>
              <w:rPr>
                <w:rFonts w:ascii="Times New Roman" w:hAnsi="Times New Roman"/>
                <w:color w:val="000000"/>
                <w:sz w:val="28"/>
                <w:szCs w:val="28"/>
              </w:rPr>
            </w:pPr>
            <w:r w:rsidRPr="004A1D98">
              <w:rPr>
                <w:rFonts w:ascii="Times New Roman" w:hAnsi="Times New Roman"/>
                <w:color w:val="000000"/>
                <w:sz w:val="28"/>
                <w:szCs w:val="28"/>
              </w:rPr>
              <w:t>Trūkstošo informāciju var papildināt, izmantojot verificētus primāros datus atbilstoši norādījumiem, kas sniegti piemērojamos standartos, un datus no produktu vides deklarācijām (PVD) atbilstoši piemērojamiem standartiem.</w:t>
            </w:r>
          </w:p>
          <w:p w14:paraId="09C5A10F"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Nenoteiktības līmeni mazina, ietverot: </w:t>
            </w:r>
          </w:p>
          <w:p w14:paraId="7DC07FF5" w14:textId="77777777" w:rsidR="000D67AB" w:rsidRPr="004A1D98" w:rsidRDefault="000D67AB" w:rsidP="00426910">
            <w:pPr>
              <w:spacing w:before="120" w:after="120"/>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1. nenoteiktību kvalitatīvo novērtējumu, kura pamatā ir pamatojuma datu avoti, tas, kā tie tika iegūti un apkopoti, un tas, uz kāda veida procesu un tehnoloģiju tie attiecas; kā arī </w:t>
            </w:r>
          </w:p>
          <w:p w14:paraId="5CF9CD18" w14:textId="77777777" w:rsidR="000D67AB" w:rsidRPr="004A1D98" w:rsidRDefault="000D67AB" w:rsidP="00426910">
            <w:pPr>
              <w:spacing w:before="120" w:after="100"/>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2. kvantitatīvu vērtējumu par diviem būtiskākajiem ceļa elementiem, kas identificēti analīzē (skatīt A14 kritērija A un B tabulu). </w:t>
            </w:r>
          </w:p>
        </w:tc>
      </w:tr>
      <w:tr w:rsidR="000D67AB" w:rsidRPr="004A1D98" w14:paraId="465CBBBB" w14:textId="77777777" w:rsidTr="000A7815">
        <w:tc>
          <w:tcPr>
            <w:tcW w:w="3397" w:type="dxa"/>
          </w:tcPr>
          <w:p w14:paraId="40829E9F"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b) Salīdzinājums, kura pamatā ir funkcionālā ekvivalence </w:t>
            </w:r>
          </w:p>
        </w:tc>
        <w:tc>
          <w:tcPr>
            <w:tcW w:w="10548" w:type="dxa"/>
          </w:tcPr>
          <w:p w14:paraId="6E0C134C"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Katrā projektā kā atsauces punktu nosaka šādus ceļa raksturlielumus (skatīt piemērojamos standartus): </w:t>
            </w:r>
          </w:p>
          <w:p w14:paraId="604D4D22"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attiecīgās tehniskās un funkcionālās prasības, kā norādīts efektivitātes prasībās; </w:t>
            </w:r>
          </w:p>
          <w:p w14:paraId="1094FB61"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prasītais darbmūžs. </w:t>
            </w:r>
          </w:p>
          <w:p w14:paraId="3E7C6C8A" w14:textId="77777777" w:rsidR="000D67AB" w:rsidRPr="004A1D98" w:rsidRDefault="000D67AB" w:rsidP="00426910">
            <w:pPr>
              <w:spacing w:before="120" w:beforeAutospacing="1" w:after="10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Rezultātus izklāsta, izmantojot kopēju funkcionālo vienību saskaņā ar piemērojamiem standartiem. </w:t>
            </w:r>
          </w:p>
        </w:tc>
      </w:tr>
      <w:tr w:rsidR="000D67AB" w:rsidRPr="004A1D98" w14:paraId="46E0FA84" w14:textId="77777777" w:rsidTr="000A7815">
        <w:tc>
          <w:tcPr>
            <w:tcW w:w="3397" w:type="dxa"/>
          </w:tcPr>
          <w:p w14:paraId="6E9AC75A"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c) Ceļa aprites cikla un robežu definīcija </w:t>
            </w:r>
          </w:p>
        </w:tc>
        <w:tc>
          <w:tcPr>
            <w:tcW w:w="10548" w:type="dxa"/>
          </w:tcPr>
          <w:p w14:paraId="42DEC068"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Analīzes robežās ietver visu no sākuma līdz beigām, tostarp būvniecību (arī izejvielu ieguvi un transportēšanu), uzturēšanu, ekspluatāciju un aprites cikla beigas (ACB). </w:t>
            </w:r>
          </w:p>
          <w:p w14:paraId="7688213B"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Reciklēto un atkārtoti izmantoto materiālu apjomus skaita saskaņā ar šādiem nosacījumiem: </w:t>
            </w:r>
          </w:p>
          <w:p w14:paraId="5F6FD143"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ielaide (ražojuma posms): atbilstoši piemērojamiem standartiem; </w:t>
            </w:r>
          </w:p>
          <w:p w14:paraId="5FBBE8DB"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izlaide (aprites cikla beigu vai uzturēšanas posms): atbilstoši piemērojamiem standartiem.</w:t>
            </w:r>
          </w:p>
        </w:tc>
      </w:tr>
      <w:tr w:rsidR="000D67AB" w:rsidRPr="004A1D98" w14:paraId="7951CA77" w14:textId="77777777" w:rsidTr="000A7815">
        <w:tc>
          <w:tcPr>
            <w:tcW w:w="3397" w:type="dxa"/>
          </w:tcPr>
          <w:p w14:paraId="3FF77571"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d) Kritēriju darbības jomā ietilpstošie ceļa elementi </w:t>
            </w:r>
          </w:p>
        </w:tc>
        <w:tc>
          <w:tcPr>
            <w:tcW w:w="10548" w:type="dxa"/>
          </w:tcPr>
          <w:p w14:paraId="13614193" w14:textId="77777777" w:rsidR="000D67AB" w:rsidRPr="004A1D98" w:rsidRDefault="000D67AB" w:rsidP="00426910">
            <w:pPr>
              <w:spacing w:before="120" w:beforeAutospacing="1" w:after="10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Kritēriju darbības joma aptver vismaz tālāk minētos ceļa elementus. </w:t>
            </w:r>
          </w:p>
          <w:p w14:paraId="151D6FDC" w14:textId="77777777" w:rsidR="000D67AB" w:rsidRPr="004A1D98" w:rsidRDefault="000D67AB" w:rsidP="00426910">
            <w:pPr>
              <w:spacing w:before="120" w:beforeAutospacing="1" w:after="10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Zemes pamatne, arī zemes darbi un grunts darbi. </w:t>
            </w:r>
          </w:p>
          <w:p w14:paraId="2558FB07"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Pamata apakškārta. </w:t>
            </w:r>
          </w:p>
          <w:p w14:paraId="61A3068B"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Ceļa pamats, saistkārta un ceļa virsma vai cementbetona plātnes. </w:t>
            </w:r>
          </w:p>
          <w:p w14:paraId="463EFBE1"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Citi ceļa palīgelementi (pēc izvēles). </w:t>
            </w:r>
          </w:p>
        </w:tc>
      </w:tr>
      <w:tr w:rsidR="000D67AB" w:rsidRPr="004A1D98" w14:paraId="7094B8FF" w14:textId="77777777" w:rsidTr="000A7815">
        <w:tc>
          <w:tcPr>
            <w:tcW w:w="3397" w:type="dxa"/>
          </w:tcPr>
          <w:p w14:paraId="51D12E5E"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f) Vērtēšanā izmantojamais aprites cikla kategorijas rādītāji</w:t>
            </w:r>
          </w:p>
        </w:tc>
        <w:tc>
          <w:tcPr>
            <w:tcW w:w="10548" w:type="dxa"/>
          </w:tcPr>
          <w:p w14:paraId="60EC9ECB"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Globālās sasilšanas potenciāls (GSP) </w:t>
            </w:r>
          </w:p>
        </w:tc>
      </w:tr>
    </w:tbl>
    <w:p w14:paraId="1489F405" w14:textId="77777777" w:rsidR="000D67AB" w:rsidRPr="004A1D98" w:rsidRDefault="000D67AB" w:rsidP="00426910">
      <w:pPr>
        <w:spacing w:after="120" w:line="264" w:lineRule="auto"/>
        <w:jc w:val="both"/>
        <w:rPr>
          <w:rFonts w:ascii="Times New Roman" w:eastAsia="SimSun" w:hAnsi="Times New Roman" w:cs="Times New Roman"/>
          <w:b/>
          <w:color w:val="000000"/>
          <w:sz w:val="28"/>
          <w:szCs w:val="28"/>
          <w:lang w:val="lv-LV"/>
        </w:rPr>
      </w:pPr>
    </w:p>
    <w:p w14:paraId="0B630E2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B pielikums </w:t>
      </w:r>
    </w:p>
    <w:p w14:paraId="7222B9B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B14 kritērija (vispārīgā kritērija) papildnorādījumi: 2. variants — ACN analīze</w:t>
      </w:r>
    </w:p>
    <w:p w14:paraId="393ABF1A"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Piešķiršanas kritērijā A14 ir izklāstīts, kā piegādātājivar izmantot aprites cikla novērtējumu (ACN), lai pierādītu, kā tie ir samazinājuši ceļa būves ietekmi uz vidi. Šajā īsajā aprakstā izklāstīts: </w:t>
      </w:r>
    </w:p>
    <w:p w14:paraId="1DC20F6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kad kritēriju var izmantot; </w:t>
      </w:r>
    </w:p>
    <w:p w14:paraId="38D5BCC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kādi noteikumi nepieciešami, lai nodrošinātu piedāvājumu salīdzināmību; kā arī </w:t>
      </w:r>
    </w:p>
    <w:p w14:paraId="7AB820B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kāds tehniskais atbalsts nepieciešams piedāvājumu atlasei. </w:t>
      </w:r>
    </w:p>
    <w:p w14:paraId="04CCFBE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ACN vienmēr izmanto, atsaucoties uz piemērojamiem standartiem. </w:t>
      </w:r>
    </w:p>
    <w:p w14:paraId="46E9AA4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1. Kad var izmantot ACN 2. variantu? </w:t>
      </w:r>
    </w:p>
    <w:p w14:paraId="0D37722B"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Kritērija A14 izmantošana iesakāma tikai tad, ja ir iespējama uzlabojumu salīdzināšana ar atsauces ceļa projektu un/vai starp dažādiem ceļa projektiem. Tāpēc šis variants attiecas uz šādiem iepirkuma scenārijiem: </w:t>
      </w:r>
    </w:p>
    <w:p w14:paraId="23238A74"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ja pasūtītājam jau ir atsauces ceļa projekts un tāme, un tā izvērtēšanas gaitā ir izkristalizējusies orientējošā cena, ar kuru salīdzina piedāvājumus; </w:t>
      </w:r>
    </w:p>
    <w:p w14:paraId="25834BC6"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ja projektu konkursu izmanto, lai veicinātu inovatīvu ceļu projektus, ko virza projektētāji un/vai piegādātāji; Šajos gadījumos var noteikt, ka viens no līguma piešķiršanas nosacījumiem ir ACN analīze.</w:t>
      </w:r>
    </w:p>
    <w:p w14:paraId="38FEB748" w14:textId="77777777" w:rsidR="000D67AB" w:rsidRPr="004A1D98" w:rsidRDefault="000D67AB" w:rsidP="007369E3">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2. Vai pieteikumu vērtēšanai būs nepieciešamas speciālas zināšanas? </w:t>
      </w:r>
    </w:p>
    <w:p w14:paraId="1ECA228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Ikvienā ceļa būvniecības un uzturēšanas iepirkumā pasūtītājam, visticamāk, būs nepieciešamas kādas speciālas projektēšanas un tehniskās zināšanas, lai noteiktu prasības un vērtētu projektus. Tāpēc pasūtītājs varētu pieaicināt ekspertus divos iepirkuma procesa posmos. </w:t>
      </w:r>
    </w:p>
    <w:p w14:paraId="4B9B083B"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Projektēšanas uzdevuma un efektivitātes prasību izstrāde: piegādātājiem sniedz norādījumus par tehniskajām prasībām, kas ir jāievēro, lai nodrošinātu iesniegto projektu salīdzināmību. </w:t>
      </w:r>
    </w:p>
    <w:p w14:paraId="159796F4"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Projektu un uzlabojumu iespēju vērtēšana: jāveic tehnisks novērtējums par to, kā piegādātāji ir ievērojuši šo kritēriju, lai pasūtītājs varētu pieņemt lēmumu. </w:t>
      </w:r>
    </w:p>
    <w:p w14:paraId="7386C81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Tehniskajam vērtētājam ir kritiski jāpārskata katra piegādātāja ACN analīze saskaņā ar C pielikumā sniegtajiem norādījumiem. </w:t>
      </w:r>
    </w:p>
    <w:p w14:paraId="14B7C03A"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3. Kādi norādījumi jādod piegādātājiem? </w:t>
      </w:r>
    </w:p>
    <w:p w14:paraId="3B02FC7E" w14:textId="62BA305C"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Lai nodrošinātu piedāvājumu salīdzināmību, iepirkuma procedūras dokumentācijā ir jāiestrādā šādi tehniskie norādījumi. Ja iesniegtos piedāvājumus vērtē, pamatojoties uz atsauces ceļu, tas ir skaidri jānorāda, kā arī jāiesniedz tāme pa</w:t>
      </w:r>
      <w:r w:rsidR="007369E3" w:rsidRPr="004A1D98">
        <w:rPr>
          <w:rFonts w:ascii="Times New Roman" w:eastAsia="Times New Roman" w:hAnsi="Times New Roman" w:cs="Times New Roman"/>
          <w:color w:val="000000"/>
          <w:sz w:val="28"/>
          <w:szCs w:val="28"/>
          <w:lang w:val="lv-LV" w:eastAsia="en-GB"/>
        </w:rPr>
        <w:t xml:space="preserve">r paredzētajiem materiāliem. </w:t>
      </w:r>
    </w:p>
    <w:p w14:paraId="7C9D3BB2"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Tehniskie norādījumi piegādātājiem, ja ceļa novērtēšanā izmanto ACN:</w:t>
      </w:r>
    </w:p>
    <w:tbl>
      <w:tblPr>
        <w:tblStyle w:val="TableGrid4"/>
        <w:tblW w:w="0" w:type="auto"/>
        <w:tblLook w:val="04A0" w:firstRow="1" w:lastRow="0" w:firstColumn="1" w:lastColumn="0" w:noHBand="0" w:noVBand="1"/>
      </w:tblPr>
      <w:tblGrid>
        <w:gridCol w:w="2616"/>
        <w:gridCol w:w="6014"/>
      </w:tblGrid>
      <w:tr w:rsidR="000D67AB" w:rsidRPr="004A1D98" w14:paraId="7B36594B" w14:textId="77777777" w:rsidTr="000A7815">
        <w:tc>
          <w:tcPr>
            <w:tcW w:w="3397" w:type="dxa"/>
          </w:tcPr>
          <w:p w14:paraId="37081845" w14:textId="77777777" w:rsidR="000D67AB" w:rsidRPr="004A1D98" w:rsidRDefault="000D67AB" w:rsidP="00426910">
            <w:pPr>
              <w:spacing w:before="100" w:beforeAutospacing="1" w:after="100" w:afterAutospacing="1"/>
              <w:jc w:val="both"/>
              <w:rPr>
                <w:rFonts w:ascii="Times New Roman" w:hAnsi="Times New Roman"/>
                <w:b/>
                <w:color w:val="000000"/>
                <w:sz w:val="28"/>
                <w:szCs w:val="28"/>
                <w:lang w:eastAsia="en-GB"/>
              </w:rPr>
            </w:pPr>
            <w:r w:rsidRPr="004A1D98">
              <w:rPr>
                <w:rFonts w:ascii="Times New Roman" w:hAnsi="Times New Roman"/>
                <w:b/>
                <w:color w:val="000000"/>
                <w:sz w:val="28"/>
                <w:szCs w:val="28"/>
                <w:lang w:eastAsia="en-GB"/>
              </w:rPr>
              <w:t xml:space="preserve">Attiecīgais tehniskais aspekts </w:t>
            </w:r>
          </w:p>
        </w:tc>
        <w:tc>
          <w:tcPr>
            <w:tcW w:w="10548" w:type="dxa"/>
          </w:tcPr>
          <w:p w14:paraId="4C97EB9A" w14:textId="77777777" w:rsidR="000D67AB" w:rsidRPr="004A1D98" w:rsidRDefault="000D67AB" w:rsidP="00426910">
            <w:pPr>
              <w:spacing w:before="100" w:beforeAutospacing="1" w:after="100" w:afterAutospacing="1"/>
              <w:jc w:val="both"/>
              <w:rPr>
                <w:rFonts w:ascii="Times New Roman" w:hAnsi="Times New Roman"/>
                <w:b/>
                <w:color w:val="000000"/>
                <w:sz w:val="28"/>
                <w:szCs w:val="28"/>
                <w:lang w:eastAsia="en-GB"/>
              </w:rPr>
            </w:pPr>
            <w:r w:rsidRPr="004A1D98">
              <w:rPr>
                <w:rFonts w:ascii="Times New Roman" w:hAnsi="Times New Roman"/>
                <w:b/>
                <w:color w:val="000000"/>
                <w:sz w:val="28"/>
                <w:szCs w:val="28"/>
                <w:lang w:eastAsia="en-GB"/>
              </w:rPr>
              <w:t xml:space="preserve">Praktiskā nozīme </w:t>
            </w:r>
          </w:p>
        </w:tc>
      </w:tr>
      <w:tr w:rsidR="000D67AB" w:rsidRPr="004A1D98" w14:paraId="12D76955" w14:textId="77777777" w:rsidTr="000A7815">
        <w:tc>
          <w:tcPr>
            <w:tcW w:w="3397" w:type="dxa"/>
          </w:tcPr>
          <w:p w14:paraId="6F0C9717"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a) Metode un inventarizācijas dati </w:t>
            </w:r>
          </w:p>
        </w:tc>
        <w:tc>
          <w:tcPr>
            <w:tcW w:w="10548" w:type="dxa"/>
          </w:tcPr>
          <w:p w14:paraId="510D4F81"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Salīdzināmības nodrošināšanas labad, cik iespējams, norāda ietekmes novērtēšanas metodi un aprites cikla inventarizācijas datus, ko izmantos katra projektētāju grupa. </w:t>
            </w:r>
          </w:p>
          <w:p w14:paraId="06AFF556" w14:textId="77777777" w:rsidR="000D67AB" w:rsidRPr="004A1D98" w:rsidRDefault="000D67AB" w:rsidP="00426910">
            <w:pPr>
              <w:jc w:val="both"/>
              <w:rPr>
                <w:rFonts w:ascii="Times New Roman" w:hAnsi="Times New Roman"/>
                <w:color w:val="000000"/>
                <w:sz w:val="28"/>
                <w:szCs w:val="28"/>
              </w:rPr>
            </w:pPr>
            <w:r w:rsidRPr="004A1D98">
              <w:rPr>
                <w:rFonts w:ascii="Times New Roman" w:hAnsi="Times New Roman"/>
                <w:color w:val="000000"/>
                <w:sz w:val="28"/>
                <w:szCs w:val="28"/>
              </w:rPr>
              <w:t xml:space="preserve">Trūkstošo informāciju var papildināt, izmantojot verificētus primāros datus atbilstoši norādījumiem, kas sniegti piemērojamos standartos, un datus no PVD atbilstoši piemērojamiem standartiem. </w:t>
            </w:r>
          </w:p>
          <w:p w14:paraId="2763A62E"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Nenoteiktības līmeni mazina, ietverot: </w:t>
            </w:r>
          </w:p>
          <w:p w14:paraId="34EB068F"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1. nenoteiktību kvalitatīvo novērtējumu, kura pamatā ir pamatojuma datu avoti, tas, kā tie tika iegūti un apkopoti, un tas, uz kāda veida procesu un tehnoloģiju tie attiecas; kā arī </w:t>
            </w:r>
          </w:p>
          <w:p w14:paraId="3767593E"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2. kvantitatīvu vērtējumu par diviem būtiskākajiem ceļa elementiem, kas identificēti analīzē (skatīt A14 kritērija A tabulu). </w:t>
            </w:r>
          </w:p>
        </w:tc>
      </w:tr>
      <w:tr w:rsidR="000D67AB" w:rsidRPr="004A1D98" w14:paraId="5EBE217A" w14:textId="77777777" w:rsidTr="000A7815">
        <w:tc>
          <w:tcPr>
            <w:tcW w:w="3397" w:type="dxa"/>
          </w:tcPr>
          <w:p w14:paraId="6CF09221"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b) Salīdzinājums, kura pamatā ir funkcionālā ekvivalence </w:t>
            </w:r>
          </w:p>
        </w:tc>
        <w:tc>
          <w:tcPr>
            <w:tcW w:w="10548" w:type="dxa"/>
          </w:tcPr>
          <w:p w14:paraId="6422FB4A"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Katrā projektā kā atsauces punktu nosaka šādus ceļa raksturlielumus (skatīt piemērojamos standartus):</w:t>
            </w:r>
          </w:p>
          <w:p w14:paraId="2D0F371A"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attiecīgās tehniskās un funkcionālās prasības, kā norādīts efektivitātes prasībās; </w:t>
            </w:r>
          </w:p>
          <w:p w14:paraId="3BC1A588"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prasītais darbmūžs. </w:t>
            </w:r>
          </w:p>
          <w:p w14:paraId="0EF81805"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Rezultātus izklāsta, izmantojot kopēju funkcionālo vienību vai atsauces vienību (skatīt piemērojamos standartus). Kalpošanas darbmūžu aplūko funkcionālās vienības definīcijā. </w:t>
            </w:r>
          </w:p>
        </w:tc>
      </w:tr>
      <w:tr w:rsidR="000D67AB" w:rsidRPr="004A1D98" w14:paraId="2431483B" w14:textId="77777777" w:rsidTr="000A7815">
        <w:tc>
          <w:tcPr>
            <w:tcW w:w="3397" w:type="dxa"/>
          </w:tcPr>
          <w:p w14:paraId="3F171EDC"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c) Ceļa aprites cikla un robežu definīcija </w:t>
            </w:r>
          </w:p>
        </w:tc>
        <w:tc>
          <w:tcPr>
            <w:tcW w:w="10548" w:type="dxa"/>
          </w:tcPr>
          <w:p w14:paraId="7507BA15"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Analīzes robežās ietver visu no sākuma līdz beigām, tostarp būvniecību (arī izejvielu ieguvi un transportēšanu), uzturēšanu, ekspluatāciju un ACB (skatīt piemērojamos standartos).</w:t>
            </w:r>
          </w:p>
          <w:p w14:paraId="447AA181"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Reciklēto un atkārtoti izmantoto materiālu apjomus skaita saskaņā ar šādiem nosacījumiem: </w:t>
            </w:r>
          </w:p>
          <w:p w14:paraId="2F929EAB" w14:textId="77777777" w:rsidR="000D67AB" w:rsidRPr="004A1D98" w:rsidRDefault="000D67AB" w:rsidP="00426910">
            <w:pPr>
              <w:spacing w:before="120" w:beforeAutospacing="1" w:after="120" w:afterAutospacing="1"/>
              <w:ind w:firstLine="318"/>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ielaide (ražojuma posms): atbilstoši noteikumiem piemērojamos standartos.</w:t>
            </w:r>
          </w:p>
          <w:p w14:paraId="26DDC091" w14:textId="77777777" w:rsidR="000D67AB" w:rsidRPr="004A1D98" w:rsidRDefault="000D67AB" w:rsidP="00426910">
            <w:pPr>
              <w:spacing w:before="120" w:beforeAutospacing="1" w:after="120" w:afterAutospacing="1"/>
              <w:ind w:firstLine="318"/>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izlaide (nolietojuma vai apkopes posms): atbilstoši noteikumiem piemērojamos standartos.</w:t>
            </w:r>
          </w:p>
        </w:tc>
      </w:tr>
      <w:tr w:rsidR="000D67AB" w:rsidRPr="004A1D98" w14:paraId="6F4DE860" w14:textId="77777777" w:rsidTr="000A7815">
        <w:tc>
          <w:tcPr>
            <w:tcW w:w="3397" w:type="dxa"/>
          </w:tcPr>
          <w:p w14:paraId="11ACB2D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d) Kritēriju darbības jomā ietilpstošie ceļa elementi </w:t>
            </w:r>
          </w:p>
        </w:tc>
        <w:tc>
          <w:tcPr>
            <w:tcW w:w="10548" w:type="dxa"/>
          </w:tcPr>
          <w:p w14:paraId="29558673"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Kritēriju darbības joma aptver vismaz tālāk minētos ceļa elementus. </w:t>
            </w:r>
          </w:p>
          <w:p w14:paraId="5113A0ED"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Zemes pamatne, arī zemes darbi un grunts darbi </w:t>
            </w:r>
          </w:p>
          <w:p w14:paraId="791171F2"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Pamata apakškārta </w:t>
            </w:r>
          </w:p>
          <w:p w14:paraId="2D4D468E"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Ceļa pamats, saistkārta un ceļa virsma vai cementbetona plātnes </w:t>
            </w:r>
          </w:p>
          <w:p w14:paraId="08986FF5"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Citi ceļa palīgelementi (pēc izvēles). </w:t>
            </w:r>
          </w:p>
          <w:p w14:paraId="5B0BD09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Attiecīgā ekspluatācijas fāzē ģenerēto enerģiju atņem no šajā fāzē patērētās enerģijas. </w:t>
            </w:r>
          </w:p>
        </w:tc>
      </w:tr>
      <w:tr w:rsidR="000D67AB" w:rsidRPr="004A1D98" w14:paraId="6974A162" w14:textId="77777777" w:rsidTr="000A7815">
        <w:tc>
          <w:tcPr>
            <w:tcW w:w="3397" w:type="dxa"/>
          </w:tcPr>
          <w:p w14:paraId="1AD89B92"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f) Vērtēšanā izmantojamais aprites cikla kategorijas rādītāji </w:t>
            </w:r>
          </w:p>
        </w:tc>
        <w:tc>
          <w:tcPr>
            <w:tcW w:w="10548" w:type="dxa"/>
          </w:tcPr>
          <w:p w14:paraId="02D4EAB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Tiek izmantoti vismaz šādi ietekmes kategorijas rādītāji, kas ir norādīti piemērojamos standartos: </w:t>
            </w:r>
          </w:p>
          <w:p w14:paraId="3D3D043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  globālās sasilšanas potenciāls (</w:t>
            </w:r>
            <w:r w:rsidRPr="004A1D98">
              <w:rPr>
                <w:rFonts w:ascii="Times New Roman" w:hAnsi="Times New Roman"/>
                <w:i/>
                <w:color w:val="000000"/>
                <w:sz w:val="28"/>
                <w:szCs w:val="28"/>
                <w:lang w:eastAsia="en-GB"/>
              </w:rPr>
              <w:t>GWP</w:t>
            </w:r>
            <w:r w:rsidRPr="004A1D98">
              <w:rPr>
                <w:rFonts w:ascii="Times New Roman" w:hAnsi="Times New Roman"/>
                <w:color w:val="000000"/>
                <w:sz w:val="28"/>
                <w:szCs w:val="28"/>
                <w:lang w:eastAsia="en-GB"/>
              </w:rPr>
              <w:t xml:space="preserve">); </w:t>
            </w:r>
          </w:p>
          <w:p w14:paraId="68D75905"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troposfēras ozona fotoķīmisko oksidētāju veidošanās potenciāls (</w:t>
            </w:r>
            <w:r w:rsidRPr="004A1D98">
              <w:rPr>
                <w:rFonts w:ascii="Times New Roman" w:hAnsi="Times New Roman"/>
                <w:i/>
                <w:color w:val="000000"/>
                <w:sz w:val="28"/>
                <w:szCs w:val="28"/>
                <w:lang w:eastAsia="en-GB"/>
              </w:rPr>
              <w:t>FOVP</w:t>
            </w:r>
            <w:r w:rsidRPr="004A1D98">
              <w:rPr>
                <w:rFonts w:ascii="Times New Roman" w:hAnsi="Times New Roman"/>
                <w:color w:val="000000"/>
                <w:sz w:val="28"/>
                <w:szCs w:val="28"/>
                <w:lang w:eastAsia="en-GB"/>
              </w:rPr>
              <w:t xml:space="preserve">); </w:t>
            </w:r>
          </w:p>
          <w:p w14:paraId="287EF7A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stratosfēras ozona slāņa noplicināšanas potenciāls (</w:t>
            </w:r>
            <w:r w:rsidRPr="004A1D98">
              <w:rPr>
                <w:rFonts w:ascii="Times New Roman" w:hAnsi="Times New Roman"/>
                <w:i/>
                <w:color w:val="000000"/>
                <w:sz w:val="28"/>
                <w:szCs w:val="28"/>
                <w:lang w:eastAsia="en-GB"/>
              </w:rPr>
              <w:t>ONP</w:t>
            </w:r>
            <w:r w:rsidRPr="004A1D98">
              <w:rPr>
                <w:rFonts w:ascii="Times New Roman" w:hAnsi="Times New Roman"/>
                <w:color w:val="000000"/>
                <w:sz w:val="28"/>
                <w:szCs w:val="28"/>
                <w:lang w:eastAsia="en-GB"/>
              </w:rPr>
              <w:t xml:space="preserve">); </w:t>
            </w:r>
          </w:p>
          <w:p w14:paraId="29EF6530"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augsnes un ūdens paskābināšanas potenciāls (</w:t>
            </w:r>
            <w:r w:rsidRPr="004A1D98">
              <w:rPr>
                <w:rFonts w:ascii="Times New Roman" w:hAnsi="Times New Roman"/>
                <w:i/>
                <w:color w:val="000000"/>
                <w:sz w:val="28"/>
                <w:szCs w:val="28"/>
                <w:lang w:eastAsia="en-GB"/>
              </w:rPr>
              <w:t>PP</w:t>
            </w:r>
            <w:r w:rsidRPr="004A1D98">
              <w:rPr>
                <w:rFonts w:ascii="Times New Roman" w:hAnsi="Times New Roman"/>
                <w:color w:val="000000"/>
                <w:sz w:val="28"/>
                <w:szCs w:val="28"/>
                <w:lang w:eastAsia="en-GB"/>
              </w:rPr>
              <w:t xml:space="preserve">); </w:t>
            </w:r>
          </w:p>
          <w:p w14:paraId="600999A8"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eitrofikācijas potenciāls (</w:t>
            </w:r>
            <w:r w:rsidRPr="004A1D98">
              <w:rPr>
                <w:rFonts w:ascii="Times New Roman" w:hAnsi="Times New Roman"/>
                <w:i/>
                <w:color w:val="000000"/>
                <w:sz w:val="28"/>
                <w:szCs w:val="28"/>
                <w:lang w:eastAsia="en-GB"/>
              </w:rPr>
              <w:t>EP</w:t>
            </w:r>
            <w:r w:rsidRPr="004A1D98">
              <w:rPr>
                <w:rFonts w:ascii="Times New Roman" w:hAnsi="Times New Roman"/>
                <w:color w:val="000000"/>
                <w:sz w:val="28"/>
                <w:szCs w:val="28"/>
                <w:lang w:eastAsia="en-GB"/>
              </w:rPr>
              <w:t xml:space="preserve">); </w:t>
            </w:r>
          </w:p>
          <w:p w14:paraId="6B58BD3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abiotisko resursu noplicināšanas potenciāls (</w:t>
            </w:r>
            <w:r w:rsidRPr="004A1D98">
              <w:rPr>
                <w:rFonts w:ascii="Times New Roman" w:hAnsi="Times New Roman"/>
                <w:i/>
                <w:color w:val="000000"/>
                <w:sz w:val="28"/>
                <w:szCs w:val="28"/>
                <w:lang w:eastAsia="en-GB"/>
              </w:rPr>
              <w:t>ARDP_elementi</w:t>
            </w:r>
            <w:r w:rsidRPr="004A1D98">
              <w:rPr>
                <w:rFonts w:ascii="Times New Roman" w:hAnsi="Times New Roman"/>
                <w:color w:val="000000"/>
                <w:sz w:val="28"/>
                <w:szCs w:val="28"/>
                <w:lang w:eastAsia="en-GB"/>
              </w:rPr>
              <w:t xml:space="preserve">); </w:t>
            </w:r>
          </w:p>
          <w:p w14:paraId="465FB222"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abiotisko resursu noplicināšanas potenciāls (</w:t>
            </w:r>
            <w:r w:rsidRPr="004A1D98">
              <w:rPr>
                <w:rFonts w:ascii="Times New Roman" w:hAnsi="Times New Roman"/>
                <w:i/>
                <w:color w:val="000000"/>
                <w:sz w:val="28"/>
                <w:szCs w:val="28"/>
                <w:lang w:eastAsia="en-GB"/>
              </w:rPr>
              <w:t>ARDP_fosilais kurināmais</w:t>
            </w:r>
            <w:r w:rsidRPr="004A1D98">
              <w:rPr>
                <w:rFonts w:ascii="Times New Roman" w:hAnsi="Times New Roman"/>
                <w:color w:val="000000"/>
                <w:sz w:val="28"/>
                <w:szCs w:val="28"/>
                <w:lang w:eastAsia="en-GB"/>
              </w:rPr>
              <w:t xml:space="preserve">). </w:t>
            </w:r>
          </w:p>
          <w:p w14:paraId="6041A362" w14:textId="77777777" w:rsidR="000D67AB" w:rsidRPr="004A1D98" w:rsidRDefault="000D67AB" w:rsidP="00426910">
            <w:pPr>
              <w:spacing w:before="100" w:beforeAutospacing="1" w:after="10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Daļēji vai pilnībā var ietvert arī citus piemērojamos standartos norādītos rādītājus, ar kuriem apraksta resursu izmantojumu, atkritumu un izlaides plūsmas, ja tie jau nav minēti citā ZPI kritērijā, piemēram, par atkārtoti pārstrādāto un reciklējamo saturu.</w:t>
            </w:r>
          </w:p>
          <w:p w14:paraId="5125C90E"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Lai novērtētu kopējo punktu skaitu, izmanto atlasīto ietekmes kategoriju rādītāju svēršanas sistēmu. Šo sistēmu izvēlas līgumslēdzēja iestāde, par pamatu ņemot: </w:t>
            </w:r>
          </w:p>
          <w:p w14:paraId="319F11DA"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jau esošu piemērotu svēršanas sistēmu, piemēram, dažās nacionālajās ACN shēmās izmantotas sistēmas; vai </w:t>
            </w:r>
          </w:p>
          <w:p w14:paraId="3E7CA406"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  svēršanas sistēmu, ko ierosina ACN tehniskais vērtētājs (skatīt C pielikumu). </w:t>
            </w:r>
          </w:p>
          <w:p w14:paraId="4EAD4D20" w14:textId="77777777" w:rsidR="000D67AB" w:rsidRPr="004A1D98" w:rsidRDefault="000D67AB" w:rsidP="00426910">
            <w:pPr>
              <w:spacing w:before="120" w:beforeAutospacing="1" w:after="120" w:afterAutospacing="1"/>
              <w:jc w:val="both"/>
              <w:rPr>
                <w:rFonts w:ascii="Times New Roman" w:hAnsi="Times New Roman"/>
                <w:color w:val="000000"/>
                <w:sz w:val="28"/>
                <w:szCs w:val="28"/>
                <w:lang w:eastAsia="en-GB"/>
              </w:rPr>
            </w:pPr>
            <w:r w:rsidRPr="004A1D98">
              <w:rPr>
                <w:rFonts w:ascii="Times New Roman" w:hAnsi="Times New Roman"/>
                <w:color w:val="000000"/>
                <w:sz w:val="28"/>
                <w:szCs w:val="28"/>
                <w:lang w:eastAsia="en-GB"/>
              </w:rPr>
              <w:t xml:space="preserve">Ja ar ACN rīku var izveidot ceļa apkopoto vērtējumu, tad ņem vērā tikai piemērojamos standartos norādīto ietekmes kategoriju rezultātu. </w:t>
            </w:r>
          </w:p>
        </w:tc>
      </w:tr>
    </w:tbl>
    <w:p w14:paraId="3A6027D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C pielikums </w:t>
      </w:r>
    </w:p>
    <w:p w14:paraId="15E5F50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b/>
          <w:color w:val="000000"/>
          <w:sz w:val="28"/>
          <w:szCs w:val="28"/>
          <w:lang w:val="lv-LV" w:eastAsia="en-GB"/>
        </w:rPr>
      </w:pPr>
      <w:r w:rsidRPr="004A1D98">
        <w:rPr>
          <w:rFonts w:ascii="Times New Roman" w:eastAsia="Times New Roman" w:hAnsi="Times New Roman" w:cs="Times New Roman"/>
          <w:b/>
          <w:color w:val="000000"/>
          <w:sz w:val="28"/>
          <w:szCs w:val="28"/>
          <w:lang w:val="lv-LV" w:eastAsia="en-GB"/>
        </w:rPr>
        <w:t xml:space="preserve">ACN tehniskā vērtētāja darba uzdevums </w:t>
      </w:r>
    </w:p>
    <w:p w14:paraId="31F683D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Tehniskā vērtētāja pienākums būs palīdzēt pasūtītājam definēt pamata nosacījumus piegādātājiem, atsaucoties uz A vai B pielikumu atkarībā no izvēlētā varianta. </w:t>
      </w:r>
    </w:p>
    <w:p w14:paraId="592C5E3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Tehniskais vērtētājs ar pasūtītāju  saskaņo tā iesniegto priekšlikumu par tādu ACIN rādītāju rezultātu svēršanu, kas noteikti iepirkuma procedūras dokumentācijā. </w:t>
      </w:r>
    </w:p>
    <w:p w14:paraId="16283E87"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Pēc piedāvājumu atvēršanas tehniskais vērtētājs: </w:t>
      </w:r>
    </w:p>
    <w:p w14:paraId="20F377E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(i)  kritiski pārskata OP, vērtējot metodikas izvēli, datu kvalitāti un salīdzināmību; vai </w:t>
      </w:r>
    </w:p>
    <w:p w14:paraId="374B3E2B"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(ii)  kritiski pārskata ACN, vērtējot metodikas izvēli, datu kvalitāti un salīdzināmību. </w:t>
      </w:r>
    </w:p>
    <w:p w14:paraId="5C9CD76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Kritisko pārskatīšanu veic, atsaucoties uz piemērojamo standartu nosacījumiem par oglekļa pēdu un šādiem Eiropas Komisijas Ieteikuma (2013/179/ES) "Par kopīgu metožu izmantošanu produktu un organizāciju aprites cikla ekoloģisko raksturlielumu mērīšanai un uzrādīšanai"  šādiem punktiem: </w:t>
      </w:r>
    </w:p>
    <w:p w14:paraId="07FF8353"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kritiska pārskatīšana (II pielikums, 9. punkts, 54. lpp.); </w:t>
      </w:r>
    </w:p>
    <w:p w14:paraId="705DCDE2"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datu apkopošanas pārbaudes saraksts (III pielikums); </w:t>
      </w:r>
    </w:p>
    <w:p w14:paraId="59B042E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  datu kvalitātes prasības (II pielikums, 5.6. punkts, 33. lpp.); </w:t>
      </w:r>
    </w:p>
    <w:p w14:paraId="5A044042"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sz w:val="28"/>
          <w:szCs w:val="28"/>
          <w:lang w:val="lv-LV" w:eastAsia="en-GB"/>
        </w:rPr>
      </w:pPr>
      <w:r w:rsidRPr="004A1D98">
        <w:rPr>
          <w:rFonts w:ascii="Times New Roman" w:eastAsia="Times New Roman" w:hAnsi="Times New Roman" w:cs="Times New Roman"/>
          <w:color w:val="000000"/>
          <w:sz w:val="28"/>
          <w:szCs w:val="28"/>
          <w:lang w:val="lv-LV" w:eastAsia="en-GB"/>
        </w:rPr>
        <w:t>–  rezultātu interpretēšana (II pielikums, 7. punkts, 50. lpp.).</w:t>
      </w:r>
      <w:bookmarkEnd w:id="4"/>
    </w:p>
    <w:p w14:paraId="70220CB9" w14:textId="70FD890F"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2</w:t>
      </w:r>
      <w:r w:rsidR="000D67AB" w:rsidRPr="004A1D98">
        <w:rPr>
          <w:rFonts w:ascii="Times New Roman" w:eastAsia="MS Gothic" w:hAnsi="Times New Roman" w:cs="Times New Roman"/>
          <w:b/>
          <w:bCs/>
          <w:color w:val="000000"/>
          <w:sz w:val="28"/>
          <w:szCs w:val="28"/>
          <w:lang w:val="lv-LV" w:eastAsia="lv-LV"/>
        </w:rPr>
        <w:t>. Ūdens sildītāji siltuma ražošanai</w:t>
      </w:r>
    </w:p>
    <w:p w14:paraId="654F12DC" w14:textId="77777777" w:rsidR="000D67AB" w:rsidRPr="004A1D98" w:rsidRDefault="000D67AB" w:rsidP="00426910">
      <w:pPr>
        <w:suppressAutoHyphens/>
        <w:autoSpaceDN w:val="0"/>
        <w:spacing w:before="24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Ražojumu grupa "ūdens sildītāji" ietver ražojumus, ko izmanto siltuma ražošanai centrālajā ūdens apkures sistēmā, kurā uzsildītā ūdens sadali nodrošina cirkulācijas sūkņi un sildķermeņi, lai noslēgtās telpās, piemēram, ēkā, mājoklī vai istabā, tiktu sasniegts un uzturēts vēlamais iekštelpu temperatūras līmenis. Ūdens sildītāju maksimālā jauda ir 400 kW.</w:t>
      </w:r>
    </w:p>
    <w:p w14:paraId="2593734A" w14:textId="1BDE2F36"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Šajā ražojumu grupā neietilpst: </w:t>
      </w:r>
    </w:p>
    <w:p w14:paraId="24BAB0E8" w14:textId="77777777" w:rsidR="000D67AB" w:rsidRPr="004A1D98" w:rsidRDefault="000D67AB" w:rsidP="00AB1BBF">
      <w:pPr>
        <w:numPr>
          <w:ilvl w:val="0"/>
          <w:numId w:val="50"/>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sildītāji, kuru primārā funkcija ir karsta dzeramā ūdens un saimniecības ūdens sagatavošana; </w:t>
      </w:r>
    </w:p>
    <w:p w14:paraId="174D0FD1" w14:textId="77777777" w:rsidR="007369E3" w:rsidRPr="004A1D98" w:rsidRDefault="000D67AB" w:rsidP="00AB1BBF">
      <w:pPr>
        <w:numPr>
          <w:ilvl w:val="0"/>
          <w:numId w:val="50"/>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sildītāji, ar kuriem silda un piegādā gāzveida siltumnesēju, piemēram, tvaiku vai gaisu; </w:t>
      </w:r>
    </w:p>
    <w:p w14:paraId="71DB1DE1" w14:textId="77777777" w:rsidR="007369E3" w:rsidRPr="004A1D98" w:rsidRDefault="000D67AB" w:rsidP="00AB1BBF">
      <w:pPr>
        <w:numPr>
          <w:ilvl w:val="0"/>
          <w:numId w:val="50"/>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koģenerācijas sildītāji ar maksimālo elektrisko jaudu 50 kW vai lielāku; </w:t>
      </w:r>
    </w:p>
    <w:p w14:paraId="5AB5D7C3" w14:textId="7E16432F" w:rsidR="000D67AB" w:rsidRPr="004A1D98" w:rsidRDefault="000D67AB" w:rsidP="00AB1BBF">
      <w:pPr>
        <w:numPr>
          <w:ilvl w:val="0"/>
          <w:numId w:val="50"/>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telpu sildītāji, kuros ir apvienota gan netiešās (izmantojot centrālo ūdens apkures sistēmu), gan tiešās (tieša siltuma atdeve telpā, kur iekārta uzstādīta) apsildes funkcija. </w:t>
      </w:r>
    </w:p>
    <w:p w14:paraId="0D232D2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198835CB" w14:textId="497FF943"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2</w:t>
      </w:r>
      <w:r w:rsidR="000D67AB" w:rsidRPr="004A1D98">
        <w:rPr>
          <w:rFonts w:ascii="Times New Roman" w:eastAsia="MS Gothic" w:hAnsi="Times New Roman" w:cs="Times New Roman"/>
          <w:b/>
          <w:bCs/>
          <w:color w:val="000000"/>
          <w:sz w:val="28"/>
          <w:szCs w:val="28"/>
          <w:lang w:val="lv-LV" w:eastAsia="lv-LV"/>
        </w:rPr>
        <w:t>.1. ZPI prasības un kritēriji ūdens sildītājiem siltuma ražošanai</w:t>
      </w:r>
    </w:p>
    <w:tbl>
      <w:tblPr>
        <w:tblW w:w="8472" w:type="dxa"/>
        <w:tblCellMar>
          <w:left w:w="10" w:type="dxa"/>
          <w:right w:w="10" w:type="dxa"/>
        </w:tblCellMar>
        <w:tblLook w:val="04A0" w:firstRow="1" w:lastRow="0" w:firstColumn="1" w:lastColumn="0" w:noHBand="0" w:noVBand="1"/>
      </w:tblPr>
      <w:tblGrid>
        <w:gridCol w:w="3428"/>
        <w:gridCol w:w="5044"/>
      </w:tblGrid>
      <w:tr w:rsidR="000D67AB" w:rsidRPr="004A1D98" w14:paraId="244BE66C"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984738E"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951DB04"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0A6053A4"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3790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6D96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Ūdens sildītāju uzstādīšana ar nelielu ietekmi uz vidi iepirkums / iepirkums un uzstādīšana</w:t>
            </w:r>
          </w:p>
        </w:tc>
      </w:tr>
      <w:tr w:rsidR="000D67AB" w:rsidRPr="004A1D98" w14:paraId="31CDAED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565A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9EF3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MINIMĀLĀ ENERGOEFEKTIVITĀTE </w:t>
            </w:r>
          </w:p>
          <w:p w14:paraId="13EBF81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Ūdens sildītāja telpu apsildes sezonas energoefektivitāte 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lang w:val="lv-LV" w:eastAsia="ja-JP"/>
              </w:rPr>
              <w:t xml:space="preserve"> nedrīkst būt zemāka par turpmāk norādītajām vērtībām. </w:t>
            </w:r>
          </w:p>
          <w:tbl>
            <w:tblPr>
              <w:tblW w:w="4731" w:type="dxa"/>
              <w:tblCellMar>
                <w:left w:w="10" w:type="dxa"/>
                <w:right w:w="10" w:type="dxa"/>
              </w:tblCellMar>
              <w:tblLook w:val="04A0" w:firstRow="1" w:lastRow="0" w:firstColumn="1" w:lastColumn="0" w:noHBand="0" w:noVBand="1"/>
            </w:tblPr>
            <w:tblGrid>
              <w:gridCol w:w="2456"/>
              <w:gridCol w:w="2362"/>
            </w:tblGrid>
            <w:tr w:rsidR="000D67AB" w:rsidRPr="004A1D98" w14:paraId="71ABDA71" w14:textId="77777777" w:rsidTr="000A7815">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3B2A"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Siltumģenerēšanas tehnoloģija</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C90CC"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Minimālā telpu apsildes sezonas energoefektivitāte</w:t>
                  </w:r>
                </w:p>
              </w:tc>
            </w:tr>
            <w:tr w:rsidR="000D67AB" w:rsidRPr="004A1D98" w14:paraId="44FD21BE" w14:textId="77777777" w:rsidTr="000A7815">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81650"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Visi sildītāji, izņemot cietās biomasas apsildes katlus </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CDF3E"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lang w:val="lv-LV" w:eastAsia="ja-JP"/>
                    </w:rPr>
                    <w:t xml:space="preserve"> ≥ 90 % </w:t>
                  </w:r>
                </w:p>
              </w:tc>
            </w:tr>
            <w:tr w:rsidR="000D67AB" w:rsidRPr="004A1D98" w14:paraId="4C2B2935" w14:textId="77777777" w:rsidTr="000A7815">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45628"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Cietās biomasas apsildes katli </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1818"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lang w:val="lv-LV" w:eastAsia="ja-JP"/>
                    </w:rPr>
                    <w:t xml:space="preserve"> ≥ 75 % </w:t>
                  </w:r>
                </w:p>
              </w:tc>
            </w:tr>
          </w:tbl>
          <w:p w14:paraId="2ED8C3F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Telpu apsildes sezonas energoefektivitāti aprēķina saskaņā ar: </w:t>
            </w:r>
          </w:p>
          <w:p w14:paraId="4CE2181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1.1. procedūrām, kas izklāstītas </w:t>
            </w:r>
            <w:r w:rsidRPr="004A1D98">
              <w:rPr>
                <w:rFonts w:ascii="Times New Roman" w:eastAsia="Times New Roman" w:hAnsi="Times New Roman" w:cs="Times New Roman"/>
                <w:bCs/>
                <w:color w:val="000000"/>
                <w:sz w:val="28"/>
                <w:szCs w:val="28"/>
                <w:lang w:val="lv-LV" w:eastAsia="ja-JP"/>
              </w:rPr>
              <w:t>Komisijas 2013. gada 2. augusta Regulas (ES) Nr. 813/2013, ar ko Eiropas Parlamenta un Padomes Direktīvu 2009/125/EK īsteno attiecībā uz ekodizaina prasībām telpu sildītājiem un kombinētajiem sildītājiem (Ekodizaina regula),</w:t>
            </w:r>
            <w:r w:rsidRPr="004A1D98">
              <w:rPr>
                <w:rFonts w:ascii="Times New Roman" w:eastAsia="Times New Roman" w:hAnsi="Times New Roman" w:cs="Times New Roman"/>
                <w:color w:val="000000"/>
                <w:sz w:val="28"/>
                <w:szCs w:val="28"/>
                <w:lang w:val="lv-LV" w:eastAsia="ja-JP"/>
              </w:rPr>
              <w:t xml:space="preserve"> III pielikumā attiecībā uz telpu sildītājiem un kombinētajiem sildītājiem, un </w:t>
            </w:r>
          </w:p>
          <w:p w14:paraId="18C424B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1.2. harmonizētajiem standartiem un mērīšanas un aprēķina pagaidu metodēm, kas paredzētas </w:t>
            </w:r>
            <w:r w:rsidRPr="004A1D98">
              <w:rPr>
                <w:rFonts w:ascii="Times New Roman" w:eastAsia="Times New Roman" w:hAnsi="Times New Roman" w:cs="Times New Roman"/>
                <w:bCs/>
                <w:color w:val="000000"/>
                <w:sz w:val="28"/>
                <w:szCs w:val="28"/>
                <w:lang w:val="lv-LV" w:eastAsia="ja-JP"/>
              </w:rPr>
              <w:t xml:space="preserve">Komisijas 2013. gada 2. augusta Regulas (ES) Nr. 813/2013, ar ko Eiropas Parlamenta un Padomes Direktīvu 2009/125/EK īsteno attiecībā uz ekodizaina prasībām telpu sildītājiem un kombinētajiem sildītājiem (Ekodizaina regula) un </w:t>
            </w:r>
            <w:r w:rsidRPr="004A1D98">
              <w:rPr>
                <w:rFonts w:ascii="Times New Roman" w:eastAsia="Times New Roman" w:hAnsi="Times New Roman" w:cs="Times New Roman"/>
                <w:color w:val="000000"/>
                <w:sz w:val="28"/>
                <w:szCs w:val="28"/>
                <w:lang w:val="lv-LV" w:eastAsia="ja-JP"/>
              </w:rPr>
              <w:t xml:space="preserve">Komisijas 2013. gada 18. februāra Deleģētās regulas (ES) Nr. 811/2013, ar ko Eiropas Parlamenta un Padomes Direktīvu 2010/30/ES papildina attiecībā uz telpu sildītāju, kombinēto sildītāju, telpu sildītāja, temperatūras regulatora un saules enerģijas iekārtas komplektu un kombinētā sildītāja, temperatūras regulatora un saules enerģijas iekārtas komplektu energomarķējumu (Energomarķējuma regula), īstenošanai un izklāstītas </w:t>
            </w:r>
            <w:r w:rsidRPr="004A1D98">
              <w:rPr>
                <w:rFonts w:ascii="Times New Roman" w:eastAsia="MS Mincho" w:hAnsi="Times New Roman" w:cs="Times New Roman"/>
                <w:color w:val="000000"/>
                <w:sz w:val="28"/>
                <w:szCs w:val="28"/>
                <w:lang w:val="lv-LV"/>
              </w:rPr>
              <w:t>Komisijas paziņojumā 2014/C 207/02, kurā iekļautas mērīšanas un aprēķina pagaidu metodes ekodizaina prasību (1. daļa) īstenošanai.</w:t>
            </w:r>
            <w:r w:rsidRPr="004A1D98">
              <w:rPr>
                <w:rFonts w:ascii="Times New Roman" w:eastAsia="Times New Roman" w:hAnsi="Times New Roman" w:cs="Times New Roman"/>
                <w:color w:val="000000"/>
                <w:sz w:val="28"/>
                <w:szCs w:val="28"/>
                <w:lang w:val="lv-LV" w:eastAsia="ja-JP"/>
              </w:rPr>
              <w:t xml:space="preserve"> </w:t>
            </w:r>
          </w:p>
          <w:p w14:paraId="37C271C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Papildus 1.1. un 1.2. apakšpunktā minētajām procedūrām telpu sildītāju komplektiem piemēro procedūras, kas izklāstītas Komisijas 2013. gada 18. februāra Deleģētās regulas (ES) Nr. 811/2013, ar ko Eiropas Parlamenta un Padomes Direktīvu 2010/30/ES papildina attiecībā uz telpu sildītāju, kombinēto sildītāju, telpu sildītāja, temperatūras regulatora un saules enerģijas iekārtas komplektu un kombinētā sildītāja, temperatūras regulatora un saules enerģijas iekārtas komplektu energomarķējumu (Energomarķējuma regula), VII pielikumā attiecībā uz telpu sildītājiem, kombinētajiem sildītājiem un telpu sildītāju komplektiem </w:t>
            </w:r>
          </w:p>
          <w:p w14:paraId="3994AB1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Cietā kurināmā apsildes katliem 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vertAlign w:val="superscript"/>
                <w:lang w:val="lv-LV" w:eastAsia="ja-JP"/>
              </w:rPr>
              <w:t xml:space="preserve"> </w:t>
            </w:r>
            <w:r w:rsidRPr="004A1D98">
              <w:rPr>
                <w:rFonts w:ascii="Times New Roman" w:eastAsia="Times New Roman" w:hAnsi="Times New Roman" w:cs="Times New Roman"/>
                <w:color w:val="000000"/>
                <w:sz w:val="28"/>
                <w:szCs w:val="28"/>
                <w:lang w:val="lv-LV" w:eastAsia="ja-JP"/>
              </w:rPr>
              <w:t xml:space="preserve"> aprēķina saskaņā ar iepriekš minētajām procedūrām, ņemot vērā šādus noteikumus: </w:t>
            </w:r>
          </w:p>
          <w:p w14:paraId="1773DD6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1.2.1. 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vertAlign w:val="superscript"/>
                <w:lang w:val="lv-LV" w:eastAsia="ja-JP"/>
              </w:rPr>
              <w:t xml:space="preserve"> </w:t>
            </w:r>
            <w:r w:rsidRPr="004A1D98">
              <w:rPr>
                <w:rFonts w:ascii="Times New Roman" w:eastAsia="Times New Roman" w:hAnsi="Times New Roman" w:cs="Times New Roman"/>
                <w:color w:val="000000"/>
                <w:sz w:val="28"/>
                <w:szCs w:val="28"/>
                <w:lang w:val="lv-LV" w:eastAsia="ja-JP"/>
              </w:rPr>
              <w:t xml:space="preserve"> aprēķina pamatā ir mitra kurināmā (darba kurināmā) augstākā siltumspēja GCV</w:t>
            </w:r>
            <w:r w:rsidRPr="004A1D98">
              <w:rPr>
                <w:rFonts w:ascii="Times New Roman" w:eastAsia="Times New Roman" w:hAnsi="Times New Roman" w:cs="Times New Roman"/>
                <w:i/>
                <w:color w:val="000000"/>
                <w:sz w:val="28"/>
                <w:szCs w:val="28"/>
                <w:vertAlign w:val="subscript"/>
                <w:lang w:val="lv-LV" w:eastAsia="ja-JP"/>
              </w:rPr>
              <w:t>ar</w:t>
            </w:r>
            <w:r w:rsidRPr="004A1D98">
              <w:rPr>
                <w:rFonts w:ascii="Times New Roman" w:eastAsia="Times New Roman" w:hAnsi="Times New Roman" w:cs="Times New Roman"/>
                <w:color w:val="000000"/>
                <w:sz w:val="28"/>
                <w:szCs w:val="28"/>
                <w:lang w:val="lv-LV" w:eastAsia="ja-JP"/>
              </w:rPr>
              <w:t xml:space="preserve"> , kurā ņemts vērā kurināmā mitruma saturs un ietverta arī tā ūdeņraža latentā siltumenerģija, kas degšanas procesā oksidējas un pārvēršas ūdenī. Lai aplēstu 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lang w:val="lv-LV" w:eastAsia="ja-JP"/>
              </w:rPr>
              <w:t>, piemēro piemērojamos standartos noteiktos principus, tomēr 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lang w:val="lv-LV" w:eastAsia="ja-JP"/>
              </w:rPr>
              <w:t xml:space="preserve"> aprēķināšanā izmanto GCV</w:t>
            </w:r>
            <w:r w:rsidRPr="004A1D98">
              <w:rPr>
                <w:rFonts w:ascii="Times New Roman" w:eastAsia="Times New Roman" w:hAnsi="Times New Roman" w:cs="Times New Roman"/>
                <w:i/>
                <w:color w:val="000000"/>
                <w:sz w:val="28"/>
                <w:szCs w:val="28"/>
                <w:vertAlign w:val="subscript"/>
                <w:lang w:val="lv-LV" w:eastAsia="ja-JP"/>
              </w:rPr>
              <w:t>ar</w:t>
            </w:r>
            <w:r w:rsidRPr="004A1D98">
              <w:rPr>
                <w:rFonts w:ascii="Times New Roman" w:eastAsia="Times New Roman" w:hAnsi="Times New Roman" w:cs="Times New Roman"/>
                <w:color w:val="000000"/>
                <w:sz w:val="28"/>
                <w:szCs w:val="28"/>
                <w:lang w:val="lv-LV" w:eastAsia="ja-JP"/>
              </w:rPr>
              <w:t xml:space="preserve"> , nevis mitra kurināmā (darba kurināmā) zemāko siltumspēju NCV</w:t>
            </w:r>
            <w:r w:rsidRPr="004A1D98">
              <w:rPr>
                <w:rFonts w:ascii="Times New Roman" w:eastAsia="Times New Roman" w:hAnsi="Times New Roman" w:cs="Times New Roman"/>
                <w:i/>
                <w:color w:val="000000"/>
                <w:sz w:val="28"/>
                <w:szCs w:val="28"/>
                <w:vertAlign w:val="subscript"/>
                <w:lang w:val="lv-LV" w:eastAsia="ja-JP"/>
              </w:rPr>
              <w:t>ar</w:t>
            </w:r>
            <w:r w:rsidRPr="004A1D98">
              <w:rPr>
                <w:rFonts w:ascii="Times New Roman" w:eastAsia="Times New Roman" w:hAnsi="Times New Roman" w:cs="Times New Roman"/>
                <w:i/>
                <w:color w:val="000000"/>
                <w:sz w:val="28"/>
                <w:szCs w:val="28"/>
                <w:lang w:val="lv-LV" w:eastAsia="ja-JP"/>
              </w:rPr>
              <w:t>.</w:t>
            </w:r>
          </w:p>
          <w:p w14:paraId="5302A38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1.2.2. mitra kurināmā (darba kurināmā) augstākās siltumspējas GCV</w:t>
            </w:r>
            <w:r w:rsidRPr="004A1D98">
              <w:rPr>
                <w:rFonts w:ascii="Times New Roman" w:eastAsia="Times New Roman" w:hAnsi="Times New Roman" w:cs="Times New Roman"/>
                <w:i/>
                <w:color w:val="000000"/>
                <w:sz w:val="28"/>
                <w:szCs w:val="28"/>
                <w:vertAlign w:val="subscript"/>
                <w:lang w:val="lv-LV" w:eastAsia="ja-JP"/>
              </w:rPr>
              <w:t>ar</w:t>
            </w:r>
            <w:r w:rsidRPr="004A1D98">
              <w:rPr>
                <w:rFonts w:ascii="Times New Roman" w:eastAsia="Times New Roman" w:hAnsi="Times New Roman" w:cs="Times New Roman"/>
                <w:color w:val="000000"/>
                <w:sz w:val="28"/>
                <w:szCs w:val="28"/>
                <w:lang w:val="lv-LV" w:eastAsia="ja-JP"/>
              </w:rPr>
              <w:t xml:space="preserve"> noteikšanai izmanto piemērojamos standartos noteiktos principus. </w:t>
            </w:r>
          </w:p>
          <w:p w14:paraId="2748080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1167A3F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 SILTUMNĪCEFEKTA GĀZU EMISIJAS LIMITI </w:t>
            </w:r>
          </w:p>
          <w:p w14:paraId="50093A6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Ūdens sildītāja siltumnīcefekta gāzu (SEG) emisijas, ko izsaka CO</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ekvivalenta gramos uz siltuma jaudas kWh un aprēķina, izmantojot paskaidrojumos definētās kopējā ekvivalentā sasilšanas ietekmējuma (</w:t>
            </w:r>
            <w:r w:rsidRPr="004A1D98">
              <w:rPr>
                <w:rFonts w:ascii="Times New Roman" w:eastAsia="Times New Roman" w:hAnsi="Times New Roman" w:cs="Times New Roman"/>
                <w:i/>
                <w:color w:val="000000"/>
                <w:sz w:val="28"/>
                <w:szCs w:val="28"/>
                <w:lang w:val="lv-LV" w:eastAsia="ja-JP"/>
              </w:rPr>
              <w:t xml:space="preserve">Total Equivalent Warming Impact </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i/>
                <w:color w:val="000000"/>
                <w:sz w:val="28"/>
                <w:szCs w:val="28"/>
                <w:lang w:val="lv-LV" w:eastAsia="ja-JP"/>
              </w:rPr>
              <w:t>TEWI</w:t>
            </w:r>
            <w:r w:rsidRPr="004A1D98">
              <w:rPr>
                <w:rFonts w:ascii="Times New Roman" w:eastAsia="Times New Roman" w:hAnsi="Times New Roman" w:cs="Times New Roman"/>
                <w:color w:val="000000"/>
                <w:sz w:val="28"/>
                <w:szCs w:val="28"/>
                <w:lang w:val="lv-LV" w:eastAsia="ja-JP"/>
              </w:rPr>
              <w:t xml:space="preserve">) formulas, nedrīkst pārsniegt turpmāk norādītās vērtības. </w:t>
            </w:r>
          </w:p>
          <w:tbl>
            <w:tblPr>
              <w:tblW w:w="4731" w:type="dxa"/>
              <w:tblCellMar>
                <w:left w:w="10" w:type="dxa"/>
                <w:right w:w="10" w:type="dxa"/>
              </w:tblCellMar>
              <w:tblLook w:val="04A0" w:firstRow="1" w:lastRow="0" w:firstColumn="1" w:lastColumn="0" w:noHBand="0" w:noVBand="1"/>
            </w:tblPr>
            <w:tblGrid>
              <w:gridCol w:w="2456"/>
              <w:gridCol w:w="2275"/>
            </w:tblGrid>
            <w:tr w:rsidR="000D67AB" w:rsidRPr="004A1D98" w14:paraId="0EB76400" w14:textId="77777777" w:rsidTr="000A7815">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6F50"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Siltumģenerēšanas tehnoloģija</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7FBE5"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SEG emisijas limiti</w:t>
                  </w:r>
                </w:p>
              </w:tc>
            </w:tr>
            <w:tr w:rsidR="000D67AB" w:rsidRPr="004A1D98" w14:paraId="2955E8BA" w14:textId="77777777" w:rsidTr="000A7815">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4056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Visi sildītāji, izņemot siltumsūkņa sildītājus</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F289D"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220 g CO</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ekvivalenta/kWh siltuma jaudas</w:t>
                  </w:r>
                </w:p>
              </w:tc>
            </w:tr>
            <w:tr w:rsidR="000D67AB" w:rsidRPr="004A1D98" w14:paraId="2CD12792" w14:textId="77777777" w:rsidTr="000A7815">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DEB4E"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Siltumsūkņa sildītāji </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8F0F7"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170 g CO</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ekvivalenta/kWh siltuma jaudas</w:t>
                  </w:r>
                </w:p>
              </w:tc>
            </w:tr>
          </w:tbl>
          <w:p w14:paraId="6EE7DEF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 RAŽOJUMA ILGMŪŽĪBA UN GARANTIJA </w:t>
            </w:r>
          </w:p>
          <w:p w14:paraId="5062464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Ražojumam ir vismaz četru gadu remonta vai nomaiņas garantija. Pretendents turklāt nodrošina, lai vismaz desmit gadus no iegādes dienas būtu pieejamas (tieši vai ar citu izvirzīto pārstāvju starpniecību) oriģinālās vai tām līdzvērtīgas rezerves daļas. Šis noteikums neattiecas uz nenovēršamām, īslaicīgām situācijām, kas nav atkarīgas no ražotāja, piemēram, dabas katastrofām. </w:t>
            </w:r>
          </w:p>
          <w:p w14:paraId="653019B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 UZSTĀDĪŠANAS INSTRUKCIJA UN LIETOŠANAS NORĀDĪJUMI </w:t>
            </w:r>
          </w:p>
          <w:p w14:paraId="01586E1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Ražojumam drukātā veidā (uz iepakojuma un/vai ražojumam pievienotajā dokumentācijā) un/vai elektroniskā formātā ir nodrošinātas šādas uzstādīšanas instrukcijas un lietošanas norādījumi: </w:t>
            </w:r>
          </w:p>
          <w:p w14:paraId="3883F03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4.1. vispārīga informācija par to, kāda izmēra sildītāji izmantojami dažādu konstrukciju/lielumu ēkās; </w:t>
            </w:r>
          </w:p>
          <w:p w14:paraId="38A3975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4.2. informācija par sildītāja energopatēriņu; </w:t>
            </w:r>
          </w:p>
          <w:p w14:paraId="76F0F73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 pienācīgas uzstādīšanas instrukcijas, tostarp: </w:t>
            </w:r>
          </w:p>
          <w:p w14:paraId="1548A4F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4.3.1. instrukcijas, kurās norādīts, ka sildītājs jāuzstāda pilnīgi apmācītiem tehniķiem; </w:t>
            </w:r>
          </w:p>
          <w:p w14:paraId="1EED633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4.3.2. jebkādi īpaši piesardzības pasākumi, kas ievērojami, sildītāju montējot un uzstādot; </w:t>
            </w:r>
          </w:p>
          <w:p w14:paraId="1402D88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4.3.3. instrukcijas, kurās norādīts, ka pēc uzstādīšanas pienācīgi jānoregulē sildītāja regulēšanas iestatījumi ("apsildes līkne"); </w:t>
            </w:r>
          </w:p>
          <w:p w14:paraId="4C3A178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4.3.4. attiecīgā gadījumā — informācija par to, kādas drīkst būt dūmgāzu gaisu piesārņojošo emisiju vērtības ekspluatācijas posmā un kā sildītājs noregulējams, lai tās nepārsniegtu. Ieteikumos īpaši būtu jāpiemin, ka: </w:t>
            </w:r>
          </w:p>
          <w:p w14:paraId="6BA45C8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4.3.4.1. sildītāju noregulē, izmantojot mērinstrumentus CO, O</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vai CO</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NO</w:t>
            </w:r>
            <w:r w:rsidRPr="004A1D98">
              <w:rPr>
                <w:rFonts w:ascii="Times New Roman" w:eastAsia="Times New Roman" w:hAnsi="Times New Roman" w:cs="Times New Roman"/>
                <w:color w:val="000000"/>
                <w:sz w:val="28"/>
                <w:szCs w:val="28"/>
                <w:vertAlign w:val="subscript"/>
                <w:lang w:val="lv-LV" w:eastAsia="ja-JP"/>
              </w:rPr>
              <w:t>x</w:t>
            </w:r>
            <w:r w:rsidRPr="004A1D98">
              <w:rPr>
                <w:rFonts w:ascii="Times New Roman" w:eastAsia="Times New Roman" w:hAnsi="Times New Roman" w:cs="Times New Roman"/>
                <w:color w:val="000000"/>
                <w:sz w:val="28"/>
                <w:szCs w:val="28"/>
                <w:lang w:val="lv-LV" w:eastAsia="ja-JP"/>
              </w:rPr>
              <w:t xml:space="preserve">, temperatūras un kvēpu mērīšanai, lai nodrošinātu, ka netiek pārsniegta neviena 2., 4., 5., 6. un 7. kritērijā norādītā vērtība; </w:t>
            </w:r>
          </w:p>
          <w:p w14:paraId="1B7E3E0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4.3.4.2. mērinstrumentu ievietošanas atveru izvietojums ir tāds pats kā laboratoriskās testēšanas laikā;</w:t>
            </w:r>
          </w:p>
          <w:p w14:paraId="551F2335"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eastAsia="ja-JP"/>
              </w:rPr>
              <w:t xml:space="preserve">4.3.4.3. </w:t>
            </w:r>
            <w:r w:rsidRPr="004A1D98">
              <w:rPr>
                <w:rFonts w:ascii="Times New Roman" w:eastAsia="Times New Roman" w:hAnsi="Times New Roman" w:cs="Times New Roman"/>
                <w:color w:val="000000"/>
                <w:sz w:val="28"/>
                <w:szCs w:val="28"/>
                <w:lang w:val="lv-LV"/>
              </w:rPr>
              <w:t xml:space="preserve">mērījumu rezultātus ieraksta īpašā veidlapā vai diagrammā, un galalietotājam paliek viena tās kopija; </w:t>
            </w:r>
          </w:p>
          <w:p w14:paraId="269681B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4.3.5. ja izmanto tehnoloģiju ar zemu izejošo dūmgāzu temperatūru, instrukcijās norāda, ka sistēma jāaprīko ar koroziju kavējošu tehnoloģiju; </w:t>
            </w:r>
          </w:p>
          <w:p w14:paraId="76FB450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4.3.6. ja izmanto kondensācijas katlus, instrukcijās norāda, ka dūmenis jāaizsargā pret kondensātu ar zemu pH vērtību; </w:t>
            </w:r>
          </w:p>
          <w:p w14:paraId="2094584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4.3.7. attiecībā uz siltumsūkņiem skaidri norāda, ka nedrīkst izmantot vielas, kas </w:t>
            </w:r>
            <w:r w:rsidRPr="004A1D98">
              <w:rPr>
                <w:rFonts w:ascii="Times New Roman" w:eastAsia="Times New Roman" w:hAnsi="Times New Roman" w:cs="Times New Roman"/>
                <w:bCs/>
                <w:color w:val="000000"/>
                <w:sz w:val="28"/>
                <w:szCs w:val="28"/>
                <w:lang w:val="lv-LV" w:eastAsia="ja-JP"/>
              </w:rPr>
              <w:t xml:space="preserve">Ministru kabineta </w:t>
            </w:r>
            <w:r w:rsidRPr="004A1D98">
              <w:rPr>
                <w:rFonts w:ascii="Times New Roman" w:eastAsia="Times New Roman" w:hAnsi="Times New Roman" w:cs="Times New Roman"/>
                <w:color w:val="000000"/>
                <w:sz w:val="28"/>
                <w:szCs w:val="28"/>
                <w:lang w:val="lv-LV" w:eastAsia="ja-JP"/>
              </w:rPr>
              <w:t xml:space="preserve">2002. gada 12. marta </w:t>
            </w:r>
            <w:r w:rsidRPr="004A1D98">
              <w:rPr>
                <w:rFonts w:ascii="Times New Roman" w:eastAsia="Times New Roman" w:hAnsi="Times New Roman" w:cs="Times New Roman"/>
                <w:bCs/>
                <w:color w:val="000000"/>
                <w:sz w:val="28"/>
                <w:szCs w:val="28"/>
                <w:lang w:val="lv-LV" w:eastAsia="ja-JP"/>
              </w:rPr>
              <w:t>noteikumos Nr.107</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 xml:space="preserve">Ķīmisko vielu un ķīmisko produktu klasificēšanas, marķēšanas un iepakošanas kārtība" </w:t>
            </w:r>
            <w:r w:rsidRPr="004A1D98">
              <w:rPr>
                <w:rFonts w:ascii="Times New Roman" w:eastAsia="Times New Roman" w:hAnsi="Times New Roman" w:cs="Times New Roman"/>
                <w:color w:val="000000"/>
                <w:sz w:val="28"/>
                <w:szCs w:val="28"/>
                <w:lang w:val="lv-LV" w:eastAsia="ja-JP"/>
              </w:rPr>
              <w:t xml:space="preserve">klasificētas kā videi vai veselībai bīstamas; </w:t>
            </w:r>
          </w:p>
          <w:p w14:paraId="760AF50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4.3.8. informācija par to, ar ko tehniķim sazināties, lai saņemtu norādījumus par uzstādīšanu; </w:t>
            </w:r>
          </w:p>
          <w:p w14:paraId="1D67F77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4.4. apkopes personālam paredzētas instrukcijas; </w:t>
            </w:r>
          </w:p>
          <w:p w14:paraId="388CB6D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 lietotājam paredzēta informācija, tostarp: </w:t>
            </w:r>
          </w:p>
          <w:p w14:paraId="094F3B9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4.5.1. norādes par lietpratīgiem uzstādītājiem un apkopes personālu; </w:t>
            </w:r>
          </w:p>
          <w:p w14:paraId="3FACB48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4.5.2. ieteikumi par sildītāja pienācīgu izmantošanu un uzstādīšanu, tostarp par to, kāds kurināmais jāizmanto un kā tas glabājams, lai nodrošinātu optimālu sadegšanu, un regulāro apkopju grafiks; </w:t>
            </w:r>
          </w:p>
          <w:p w14:paraId="5F96F8E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4.5.3. ieteikumi par to, kā racionāla apiešanās var mazināt sildītāja ietekmi uz vidi, jo īpaši informācija par ražojuma pareizu izmantošanu, lai samazinātu energopatēriņu; </w:t>
            </w:r>
          </w:p>
          <w:p w14:paraId="3DD8CAC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4.5.4. attiecīgā gadījumā — informācija par to, kā interpretējami mērījumu rezultāti un kā tos var uzlabot; </w:t>
            </w:r>
          </w:p>
          <w:p w14:paraId="40E7377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4.5.5. informācija par to,kuras rezerves daļas var nomainīt; </w:t>
            </w:r>
          </w:p>
          <w:p w14:paraId="0147928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4.6. ieteikumi par pienācīgu iznīcināšanu pēc ražojuma kalpošanas laika beigām. </w:t>
            </w:r>
          </w:p>
        </w:tc>
      </w:tr>
      <w:tr w:rsidR="000D67AB" w:rsidRPr="004A1D98" w14:paraId="4E54AA29" w14:textId="77777777" w:rsidTr="000A7815">
        <w:trPr>
          <w:trHeight w:val="1124"/>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87D5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D49C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Punkti tiks piešķirti par šādiem kritērijiem. </w:t>
            </w:r>
          </w:p>
          <w:p w14:paraId="5CF477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PAPILDU ENERGOEFEKTIVITĀTE </w:t>
            </w:r>
          </w:p>
          <w:p w14:paraId="299E9D5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Papildu punktus piešķir par katru 1 procentu papildu pieauguma ūdens sildītāja telpu apsildes sezonas energoefektivitātē (η</w:t>
            </w:r>
            <w:r w:rsidRPr="004A1D98">
              <w:rPr>
                <w:rFonts w:ascii="Times New Roman" w:eastAsia="Times New Roman" w:hAnsi="Times New Roman" w:cs="Times New Roman"/>
                <w:color w:val="000000"/>
                <w:sz w:val="28"/>
                <w:szCs w:val="28"/>
                <w:vertAlign w:val="subscript"/>
                <w:lang w:val="lv-LV" w:eastAsia="ja-JP"/>
              </w:rPr>
              <w:t>s</w:t>
            </w:r>
            <w:r w:rsidRPr="004A1D98">
              <w:rPr>
                <w:rFonts w:ascii="Times New Roman" w:eastAsia="Times New Roman" w:hAnsi="Times New Roman" w:cs="Times New Roman"/>
                <w:color w:val="000000"/>
                <w:sz w:val="28"/>
                <w:szCs w:val="28"/>
                <w:lang w:val="lv-LV" w:eastAsia="ja-JP"/>
              </w:rPr>
              <w:t xml:space="preserve">), kā norādīts 1. kritērijā. </w:t>
            </w:r>
          </w:p>
          <w:p w14:paraId="450675A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 PAPILDU SILTUMNĪCEFEKTA GĀZU EMISIJU SAMAZINĀŠANA </w:t>
            </w:r>
          </w:p>
          <w:p w14:paraId="23DD901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Papildpunktus piešķir par katriem 5 g papildu samazinājuma ūdens sildītāja siltumnīcefekta gāzu emisijās, kā norādīts tehniskās specifikācijas 2. kritērijā. </w:t>
            </w:r>
          </w:p>
          <w:p w14:paraId="05ECBFA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 TROKŠŅA EMISIJAS LIMITI </w:t>
            </w:r>
          </w:p>
          <w:p w14:paraId="6682587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Šo piešķiršanas kritēriju ieteicams piemērot to ūdens sildītāju publiskajā iepirkumā, kas saskaņā ar </w:t>
            </w:r>
            <w:r w:rsidRPr="004A1D98">
              <w:rPr>
                <w:rFonts w:ascii="Times New Roman" w:eastAsia="Times New Roman" w:hAnsi="Times New Roman" w:cs="Times New Roman"/>
                <w:bCs/>
                <w:color w:val="000000"/>
                <w:sz w:val="28"/>
                <w:szCs w:val="28"/>
                <w:lang w:val="lv-LV" w:eastAsia="ja-JP"/>
              </w:rPr>
              <w:t xml:space="preserve">Ministru kabineta </w:t>
            </w:r>
            <w:r w:rsidRPr="004A1D98">
              <w:rPr>
                <w:rFonts w:ascii="Times New Roman" w:eastAsia="Times New Roman" w:hAnsi="Times New Roman" w:cs="Times New Roman"/>
                <w:color w:val="000000"/>
                <w:sz w:val="28"/>
                <w:szCs w:val="28"/>
                <w:lang w:val="lv-LV" w:eastAsia="ja-JP"/>
              </w:rPr>
              <w:t xml:space="preserve">2014.gada 7.janvāra </w:t>
            </w:r>
            <w:r w:rsidRPr="004A1D98">
              <w:rPr>
                <w:rFonts w:ascii="Times New Roman" w:eastAsia="Times New Roman" w:hAnsi="Times New Roman" w:cs="Times New Roman"/>
                <w:bCs/>
                <w:color w:val="000000"/>
                <w:sz w:val="28"/>
                <w:szCs w:val="28"/>
                <w:lang w:val="lv-LV" w:eastAsia="ja-JP"/>
              </w:rPr>
              <w:t>noteikumiem Nr. 16</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Trokšņa novērtēšanas un pārvaldības kārtība"</w:t>
            </w:r>
            <w:r w:rsidRPr="004A1D98">
              <w:rPr>
                <w:rFonts w:ascii="Times New Roman" w:eastAsia="Times New Roman" w:hAnsi="Times New Roman" w:cs="Times New Roman"/>
                <w:color w:val="000000"/>
                <w:sz w:val="28"/>
                <w:szCs w:val="28"/>
                <w:lang w:val="lv-LV" w:eastAsia="ja-JP"/>
              </w:rPr>
              <w:t xml:space="preserve">  jāuzstāda no trokšņa aizsargājamās ēkās, piemēram, slimnīcās un skolās. </w:t>
            </w:r>
          </w:p>
          <w:p w14:paraId="3187C5E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Mērvienība ir attiecīgi dB(A) vai dB(C). Testus veic saskaņā ar piemērojamiem standartiem nominālos standartapstākļos un pie nominālas siltuma jaudas. </w:t>
            </w:r>
          </w:p>
          <w:p w14:paraId="40C053D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Piešķiramos punktus aprēķina šādi: </w:t>
            </w:r>
          </w:p>
          <w:p w14:paraId="2D5D0A91"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PL = L</w:t>
            </w:r>
            <w:r w:rsidRPr="004A1D98">
              <w:rPr>
                <w:rFonts w:ascii="Times New Roman" w:eastAsia="Times New Roman" w:hAnsi="Times New Roman" w:cs="Times New Roman"/>
                <w:b/>
                <w:color w:val="000000"/>
                <w:sz w:val="28"/>
                <w:szCs w:val="28"/>
                <w:vertAlign w:val="subscript"/>
                <w:lang w:val="lv-LV" w:eastAsia="ja-JP"/>
              </w:rPr>
              <w:t>A,min</w:t>
            </w:r>
            <w:r w:rsidRPr="004A1D98">
              <w:rPr>
                <w:rFonts w:ascii="Times New Roman" w:eastAsia="Times New Roman" w:hAnsi="Times New Roman" w:cs="Times New Roman"/>
                <w:b/>
                <w:color w:val="000000"/>
                <w:sz w:val="28"/>
                <w:szCs w:val="28"/>
                <w:lang w:val="lv-LV" w:eastAsia="ja-JP"/>
              </w:rPr>
              <w:t xml:space="preserve"> / L</w:t>
            </w:r>
            <w:r w:rsidRPr="004A1D98">
              <w:rPr>
                <w:rFonts w:ascii="Times New Roman" w:eastAsia="Times New Roman" w:hAnsi="Times New Roman" w:cs="Times New Roman"/>
                <w:b/>
                <w:color w:val="000000"/>
                <w:sz w:val="28"/>
                <w:szCs w:val="28"/>
                <w:vertAlign w:val="subscript"/>
                <w:lang w:val="lv-LV" w:eastAsia="ja-JP"/>
              </w:rPr>
              <w:t>A</w:t>
            </w:r>
            <w:r w:rsidRPr="004A1D98">
              <w:rPr>
                <w:rFonts w:ascii="Times New Roman" w:eastAsia="Times New Roman" w:hAnsi="Times New Roman" w:cs="Times New Roman"/>
                <w:b/>
                <w:color w:val="000000"/>
                <w:sz w:val="28"/>
                <w:szCs w:val="28"/>
                <w:lang w:val="lv-LV" w:eastAsia="ja-JP"/>
              </w:rPr>
              <w:t xml:space="preserve"> x PL</w:t>
            </w:r>
            <w:r w:rsidRPr="004A1D98">
              <w:rPr>
                <w:rFonts w:ascii="Times New Roman" w:eastAsia="Times New Roman" w:hAnsi="Times New Roman" w:cs="Times New Roman"/>
                <w:b/>
                <w:color w:val="000000"/>
                <w:sz w:val="28"/>
                <w:szCs w:val="28"/>
                <w:vertAlign w:val="subscript"/>
                <w:lang w:val="lv-LV" w:eastAsia="ja-JP"/>
              </w:rPr>
              <w:t xml:space="preserve">A,max </w:t>
            </w:r>
            <w:r w:rsidRPr="004A1D98">
              <w:rPr>
                <w:rFonts w:ascii="Times New Roman" w:eastAsia="Times New Roman" w:hAnsi="Times New Roman" w:cs="Times New Roman"/>
                <w:b/>
                <w:color w:val="000000"/>
                <w:sz w:val="28"/>
                <w:szCs w:val="28"/>
                <w:lang w:val="lv-LV" w:eastAsia="ja-JP"/>
              </w:rPr>
              <w:t>+ L</w:t>
            </w:r>
            <w:r w:rsidRPr="004A1D98">
              <w:rPr>
                <w:rFonts w:ascii="Times New Roman" w:eastAsia="Times New Roman" w:hAnsi="Times New Roman" w:cs="Times New Roman"/>
                <w:b/>
                <w:color w:val="000000"/>
                <w:sz w:val="28"/>
                <w:szCs w:val="28"/>
                <w:vertAlign w:val="subscript"/>
                <w:lang w:val="lv-LV" w:eastAsia="ja-JP"/>
              </w:rPr>
              <w:t xml:space="preserve">C, min </w:t>
            </w:r>
            <w:r w:rsidRPr="004A1D98">
              <w:rPr>
                <w:rFonts w:ascii="Times New Roman" w:eastAsia="Times New Roman" w:hAnsi="Times New Roman" w:cs="Times New Roman"/>
                <w:b/>
                <w:color w:val="000000"/>
                <w:sz w:val="28"/>
                <w:szCs w:val="28"/>
                <w:lang w:val="lv-LV" w:eastAsia="ja-JP"/>
              </w:rPr>
              <w:t>/ L</w:t>
            </w:r>
            <w:r w:rsidRPr="004A1D98">
              <w:rPr>
                <w:rFonts w:ascii="Times New Roman" w:eastAsia="Times New Roman" w:hAnsi="Times New Roman" w:cs="Times New Roman"/>
                <w:b/>
                <w:color w:val="000000"/>
                <w:sz w:val="28"/>
                <w:szCs w:val="28"/>
                <w:vertAlign w:val="subscript"/>
                <w:lang w:val="lv-LV" w:eastAsia="ja-JP"/>
              </w:rPr>
              <w:t xml:space="preserve">C </w:t>
            </w:r>
            <w:r w:rsidRPr="004A1D98">
              <w:rPr>
                <w:rFonts w:ascii="Times New Roman" w:eastAsia="Times New Roman" w:hAnsi="Times New Roman" w:cs="Times New Roman"/>
                <w:b/>
                <w:color w:val="000000"/>
                <w:sz w:val="28"/>
                <w:szCs w:val="28"/>
                <w:lang w:val="lv-LV" w:eastAsia="ja-JP"/>
              </w:rPr>
              <w:t>x PL</w:t>
            </w:r>
            <w:r w:rsidRPr="004A1D98">
              <w:rPr>
                <w:rFonts w:ascii="Times New Roman" w:eastAsia="Times New Roman" w:hAnsi="Times New Roman" w:cs="Times New Roman"/>
                <w:b/>
                <w:color w:val="000000"/>
                <w:sz w:val="28"/>
                <w:szCs w:val="28"/>
                <w:vertAlign w:val="subscript"/>
                <w:lang w:val="lv-LV" w:eastAsia="ja-JP"/>
              </w:rPr>
              <w:t>C,max</w:t>
            </w:r>
          </w:p>
          <w:p w14:paraId="656B1DA3" w14:textId="77777777" w:rsidR="000D67AB" w:rsidRPr="004A1D98" w:rsidRDefault="000D67AB" w:rsidP="00426910">
            <w:pPr>
              <w:suppressAutoHyphens/>
              <w:autoSpaceDN w:val="0"/>
              <w:spacing w:before="120" w:after="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kur:</w:t>
            </w:r>
          </w:p>
          <w:p w14:paraId="595CE28F" w14:textId="77777777" w:rsidR="000D67AB" w:rsidRPr="004A1D98" w:rsidRDefault="000D67AB" w:rsidP="00AB1BBF">
            <w:pPr>
              <w:numPr>
                <w:ilvl w:val="0"/>
                <w:numId w:val="31"/>
              </w:numPr>
              <w:suppressAutoHyphens/>
              <w:autoSpaceDN w:val="0"/>
              <w:spacing w:after="120" w:line="240" w:lineRule="auto"/>
              <w:ind w:left="0" w:hanging="357"/>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PL ir trokšņa līmeņa punkti; </w:t>
            </w:r>
          </w:p>
          <w:p w14:paraId="5B6C7AD0"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w:t>
            </w:r>
            <w:r w:rsidRPr="004A1D98">
              <w:rPr>
                <w:rFonts w:ascii="Times New Roman" w:eastAsia="Times New Roman" w:hAnsi="Times New Roman" w:cs="Times New Roman"/>
                <w:color w:val="000000"/>
                <w:sz w:val="28"/>
                <w:szCs w:val="28"/>
                <w:vertAlign w:val="subscript"/>
                <w:lang w:val="lv-LV" w:eastAsia="ja-JP"/>
              </w:rPr>
              <w:t xml:space="preserve">A,min </w:t>
            </w:r>
            <w:r w:rsidRPr="004A1D98">
              <w:rPr>
                <w:rFonts w:ascii="Times New Roman" w:eastAsia="Times New Roman" w:hAnsi="Times New Roman" w:cs="Times New Roman"/>
                <w:color w:val="000000"/>
                <w:sz w:val="28"/>
                <w:szCs w:val="28"/>
                <w:lang w:val="lv-LV" w:eastAsia="ja-JP"/>
              </w:rPr>
              <w:t>ir zemākais A-izsvarotais skaņas jaudas līmenis par pilnīgi atbilstošu piedāvājumu;</w:t>
            </w:r>
          </w:p>
          <w:p w14:paraId="6BB068DC"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w:t>
            </w:r>
            <w:r w:rsidRPr="004A1D98">
              <w:rPr>
                <w:rFonts w:ascii="Times New Roman" w:eastAsia="Times New Roman" w:hAnsi="Times New Roman" w:cs="Times New Roman"/>
                <w:color w:val="000000"/>
                <w:sz w:val="28"/>
                <w:szCs w:val="28"/>
                <w:vertAlign w:val="subscript"/>
                <w:lang w:val="lv-LV" w:eastAsia="ja-JP"/>
              </w:rPr>
              <w:t>C, min</w:t>
            </w:r>
            <w:r w:rsidRPr="004A1D98">
              <w:rPr>
                <w:rFonts w:ascii="Times New Roman" w:eastAsia="Times New Roman" w:hAnsi="Times New Roman" w:cs="Times New Roman"/>
                <w:color w:val="000000"/>
                <w:sz w:val="28"/>
                <w:szCs w:val="28"/>
                <w:lang w:val="lv-LV" w:eastAsia="ja-JP"/>
              </w:rPr>
              <w:t xml:space="preserve"> ir zemākais C-izsvarotais skaņas jaudas līmenis par pilnīgi </w:t>
            </w:r>
          </w:p>
          <w:p w14:paraId="69B39DF4"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w:t>
            </w:r>
            <w:r w:rsidRPr="004A1D98">
              <w:rPr>
                <w:rFonts w:ascii="Times New Roman" w:eastAsia="Times New Roman" w:hAnsi="Times New Roman" w:cs="Times New Roman"/>
                <w:color w:val="000000"/>
                <w:sz w:val="28"/>
                <w:szCs w:val="28"/>
                <w:vertAlign w:val="subscript"/>
                <w:lang w:val="lv-LV" w:eastAsia="ja-JP"/>
              </w:rPr>
              <w:t>A</w:t>
            </w:r>
            <w:r w:rsidRPr="004A1D98">
              <w:rPr>
                <w:rFonts w:ascii="Times New Roman" w:eastAsia="Times New Roman" w:hAnsi="Times New Roman" w:cs="Times New Roman"/>
                <w:color w:val="000000"/>
                <w:sz w:val="28"/>
                <w:szCs w:val="28"/>
                <w:lang w:val="lv-LV" w:eastAsia="ja-JP"/>
              </w:rPr>
              <w:t xml:space="preserve"> ir novērtējamais A-izsvarotais skaņas jaudas līmenis; </w:t>
            </w:r>
          </w:p>
          <w:p w14:paraId="2ABF9859"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w:t>
            </w:r>
            <w:r w:rsidRPr="004A1D98">
              <w:rPr>
                <w:rFonts w:ascii="Times New Roman" w:eastAsia="Times New Roman" w:hAnsi="Times New Roman" w:cs="Times New Roman"/>
                <w:color w:val="000000"/>
                <w:sz w:val="28"/>
                <w:szCs w:val="28"/>
                <w:vertAlign w:val="subscript"/>
                <w:lang w:val="lv-LV" w:eastAsia="ja-JP"/>
              </w:rPr>
              <w:t>C</w:t>
            </w:r>
            <w:r w:rsidRPr="004A1D98">
              <w:rPr>
                <w:rFonts w:ascii="Times New Roman" w:eastAsia="Times New Roman" w:hAnsi="Times New Roman" w:cs="Times New Roman"/>
                <w:color w:val="000000"/>
                <w:sz w:val="28"/>
                <w:szCs w:val="28"/>
                <w:lang w:val="lv-LV" w:eastAsia="ja-JP"/>
              </w:rPr>
              <w:t xml:space="preserve"> ir novērtējamais C-izsvarotais skaņas jaudas līmenis (attiecīgā </w:t>
            </w:r>
          </w:p>
          <w:p w14:paraId="134447BB"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PL</w:t>
            </w:r>
            <w:r w:rsidRPr="004A1D98">
              <w:rPr>
                <w:rFonts w:ascii="Times New Roman" w:eastAsia="Times New Roman" w:hAnsi="Times New Roman" w:cs="Times New Roman"/>
                <w:color w:val="000000"/>
                <w:sz w:val="28"/>
                <w:szCs w:val="28"/>
                <w:vertAlign w:val="subscript"/>
                <w:lang w:val="lv-LV" w:eastAsia="ja-JP"/>
              </w:rPr>
              <w:t>A,max</w:t>
            </w:r>
            <w:r w:rsidRPr="004A1D98">
              <w:rPr>
                <w:rFonts w:ascii="Times New Roman" w:eastAsia="Times New Roman" w:hAnsi="Times New Roman" w:cs="Times New Roman"/>
                <w:color w:val="000000"/>
                <w:sz w:val="28"/>
                <w:szCs w:val="28"/>
                <w:lang w:val="lv-LV" w:eastAsia="ja-JP"/>
              </w:rPr>
              <w:t xml:space="preserve"> ir iegūstamo punktu maksimālais skaits saistībā ar A- izsvaroto skaņas jaudas līmeni;</w:t>
            </w:r>
          </w:p>
          <w:p w14:paraId="3D8089A8"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PL</w:t>
            </w:r>
            <w:r w:rsidRPr="004A1D98">
              <w:rPr>
                <w:rFonts w:ascii="Times New Roman" w:eastAsia="Times New Roman" w:hAnsi="Times New Roman" w:cs="Times New Roman"/>
                <w:color w:val="000000"/>
                <w:sz w:val="28"/>
                <w:szCs w:val="28"/>
                <w:vertAlign w:val="subscript"/>
                <w:lang w:val="lv-LV" w:eastAsia="ja-JP"/>
              </w:rPr>
              <w:t>C,max</w:t>
            </w:r>
            <w:r w:rsidRPr="004A1D98">
              <w:rPr>
                <w:rFonts w:ascii="Times New Roman" w:eastAsia="Times New Roman" w:hAnsi="Times New Roman" w:cs="Times New Roman"/>
                <w:color w:val="000000"/>
                <w:sz w:val="28"/>
                <w:szCs w:val="28"/>
                <w:lang w:val="lv-LV" w:eastAsia="ja-JP"/>
              </w:rPr>
              <w:t xml:space="preserve"> ir iegūstamo punktu maksimālais skaits saistībā ar C- izsvaroto skaņas jaudas līmeni (attiecīgā gadījumā). </w:t>
            </w:r>
          </w:p>
          <w:p w14:paraId="072DB8C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Nepiešķir nevienu punktu, ja ūdens sildītāja trokšņa emisija pārsniedz turpmāk norādītās robežvērtības. </w:t>
            </w:r>
          </w:p>
          <w:tbl>
            <w:tblPr>
              <w:tblW w:w="4702" w:type="dxa"/>
              <w:tblInd w:w="34" w:type="dxa"/>
              <w:tblCellMar>
                <w:left w:w="10" w:type="dxa"/>
                <w:right w:w="10" w:type="dxa"/>
              </w:tblCellMar>
              <w:tblLook w:val="04A0" w:firstRow="1" w:lastRow="0" w:firstColumn="1" w:lastColumn="0" w:noHBand="0" w:noVBand="1"/>
            </w:tblPr>
            <w:tblGrid>
              <w:gridCol w:w="1818"/>
              <w:gridCol w:w="1414"/>
              <w:gridCol w:w="1470"/>
            </w:tblGrid>
            <w:tr w:rsidR="000D67AB" w:rsidRPr="004A1D98" w14:paraId="22E7FF4D" w14:textId="77777777" w:rsidTr="000A781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FCAA"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Siltumģene- rēšanas tehnoloģija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C7D8"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Mērīšana </w:t>
                  </w:r>
                </w:p>
              </w:tc>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18B40"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Trokšņa emisijas limits </w:t>
                  </w:r>
                </w:p>
              </w:tc>
            </w:tr>
            <w:tr w:rsidR="000D67AB" w:rsidRPr="004A1D98" w14:paraId="6FCBFAC9" w14:textId="77777777" w:rsidTr="000A781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F9ED"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Visi sildītāji, izņemot koģenerācijas sildītājus un siltumsūkņus, kas aprīkoti ar iekšdedzes dzinēju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5C17C"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A-izsvarotais skaņas jaudas līmenis (L</w:t>
                  </w:r>
                  <w:r w:rsidRPr="004A1D98">
                    <w:rPr>
                      <w:rFonts w:ascii="Times New Roman" w:eastAsia="Times New Roman" w:hAnsi="Times New Roman" w:cs="Times New Roman"/>
                      <w:color w:val="000000"/>
                      <w:sz w:val="28"/>
                      <w:szCs w:val="28"/>
                      <w:vertAlign w:val="subscript"/>
                      <w:lang w:val="lv-LV" w:eastAsia="ja-JP"/>
                    </w:rPr>
                    <w:t>WAd,lim</w:t>
                  </w:r>
                  <w:r w:rsidRPr="004A1D98">
                    <w:rPr>
                      <w:rFonts w:ascii="Times New Roman" w:eastAsia="Times New Roman" w:hAnsi="Times New Roman" w:cs="Times New Roman"/>
                      <w:color w:val="000000"/>
                      <w:sz w:val="28"/>
                      <w:szCs w:val="28"/>
                      <w:lang w:val="lv-LV" w:eastAsia="ja-JP"/>
                    </w:rPr>
                    <w:t xml:space="preserve">) </w:t>
                  </w:r>
                </w:p>
              </w:tc>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C50FE"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17 + 36 x log(P</w:t>
                  </w:r>
                  <w:r w:rsidRPr="004A1D98">
                    <w:rPr>
                      <w:rFonts w:ascii="Times New Roman" w:eastAsia="Times New Roman" w:hAnsi="Times New Roman" w:cs="Times New Roman"/>
                      <w:color w:val="000000"/>
                      <w:sz w:val="28"/>
                      <w:szCs w:val="28"/>
                      <w:vertAlign w:val="subscript"/>
                      <w:lang w:val="lv-LV" w:eastAsia="ja-JP"/>
                    </w:rPr>
                    <w:t>N</w:t>
                  </w:r>
                  <w:r w:rsidRPr="004A1D98">
                    <w:rPr>
                      <w:rFonts w:ascii="Times New Roman" w:eastAsia="Times New Roman" w:hAnsi="Times New Roman" w:cs="Times New Roman"/>
                      <w:color w:val="000000"/>
                      <w:sz w:val="28"/>
                      <w:szCs w:val="28"/>
                      <w:lang w:val="lv-LV" w:eastAsia="ja-JP"/>
                    </w:rPr>
                    <w:t xml:space="preserve"> +10) dB(A)</w:t>
                  </w:r>
                </w:p>
              </w:tc>
            </w:tr>
            <w:tr w:rsidR="000D67AB" w:rsidRPr="004A1D98" w14:paraId="24CA2E64" w14:textId="77777777" w:rsidTr="000A7815">
              <w:trPr>
                <w:trHeight w:val="345"/>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E96D"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Koģenerācijas sildītāji un siltumsūkņi, kas aprīkoti ar iekšdedzes dzinēju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7F6E7"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A-izsvarotais skaņas spiediena līmenis (L</w:t>
                  </w:r>
                  <w:r w:rsidRPr="004A1D98">
                    <w:rPr>
                      <w:rFonts w:ascii="Times New Roman" w:eastAsia="Times New Roman" w:hAnsi="Times New Roman" w:cs="Times New Roman"/>
                      <w:color w:val="000000"/>
                      <w:sz w:val="28"/>
                      <w:szCs w:val="28"/>
                      <w:vertAlign w:val="subscript"/>
                      <w:lang w:val="lv-LV" w:eastAsia="ja-JP"/>
                    </w:rPr>
                    <w:t>PAd,lim)</w:t>
                  </w:r>
                </w:p>
              </w:tc>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7E2F2"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30 + 20 x log(PE +15) dB(A)</w:t>
                  </w:r>
                </w:p>
              </w:tc>
            </w:tr>
            <w:tr w:rsidR="000D67AB" w:rsidRPr="004A1D98" w14:paraId="39F15124" w14:textId="77777777" w:rsidTr="000A7815">
              <w:trPr>
                <w:trHeight w:val="34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68F3"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11C14"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C-izsvarotais skaņas spiediena līmenis (L</w:t>
                  </w:r>
                  <w:r w:rsidRPr="004A1D98">
                    <w:rPr>
                      <w:rFonts w:ascii="Times New Roman" w:eastAsia="Times New Roman" w:hAnsi="Times New Roman" w:cs="Times New Roman"/>
                      <w:color w:val="000000"/>
                      <w:sz w:val="28"/>
                      <w:szCs w:val="28"/>
                      <w:vertAlign w:val="subscript"/>
                      <w:lang w:val="lv-LV" w:eastAsia="ja-JP"/>
                    </w:rPr>
                    <w:t>PCd,lim)</w:t>
                  </w:r>
                  <w:r w:rsidRPr="004A1D98">
                    <w:rPr>
                      <w:rFonts w:ascii="Times New Roman" w:eastAsia="Times New Roman" w:hAnsi="Times New Roman" w:cs="Times New Roman"/>
                      <w:color w:val="000000"/>
                      <w:sz w:val="28"/>
                      <w:szCs w:val="28"/>
                      <w:lang w:val="lv-LV" w:eastAsia="ja-JP"/>
                    </w:rPr>
                    <w:t xml:space="preserve"> </w:t>
                  </w:r>
                </w:p>
              </w:tc>
              <w:tc>
                <w:tcPr>
                  <w:tcW w:w="20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EF105"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w:t>
                  </w:r>
                  <w:r w:rsidRPr="004A1D98">
                    <w:rPr>
                      <w:rFonts w:ascii="Times New Roman" w:eastAsia="Times New Roman" w:hAnsi="Times New Roman" w:cs="Times New Roman"/>
                      <w:color w:val="000000"/>
                      <w:sz w:val="28"/>
                      <w:szCs w:val="28"/>
                      <w:vertAlign w:val="subscript"/>
                      <w:lang w:val="lv-LV" w:eastAsia="ja-JP"/>
                    </w:rPr>
                    <w:t>PAd,lim</w:t>
                  </w:r>
                  <w:r w:rsidRPr="004A1D98">
                    <w:rPr>
                      <w:rFonts w:ascii="Times New Roman" w:eastAsia="Times New Roman" w:hAnsi="Times New Roman" w:cs="Times New Roman"/>
                      <w:color w:val="000000"/>
                      <w:sz w:val="28"/>
                      <w:szCs w:val="28"/>
                      <w:lang w:val="lv-LV" w:eastAsia="ja-JP"/>
                    </w:rPr>
                    <w:t xml:space="preserve"> + 20 dB(C)</w:t>
                  </w:r>
                </w:p>
              </w:tc>
            </w:tr>
          </w:tbl>
          <w:p w14:paraId="79C2A38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Piezīme</w:t>
            </w:r>
            <w:r w:rsidRPr="004A1D98">
              <w:rPr>
                <w:rFonts w:ascii="Times New Roman" w:eastAsia="Times New Roman" w:hAnsi="Times New Roman" w:cs="Times New Roman"/>
                <w:color w:val="000000"/>
                <w:sz w:val="28"/>
                <w:szCs w:val="28"/>
                <w:lang w:val="lv-LV" w:eastAsia="ja-JP"/>
              </w:rPr>
              <w:t xml:space="preserve">. PN ir nominālā (pilnas slodzes) siltuma jauda; PE ir elektriskā jauda. </w:t>
            </w:r>
          </w:p>
          <w:p w14:paraId="3B083687"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 RAŽOJUMA KONSTRUKCIJA </w:t>
            </w:r>
          </w:p>
          <w:p w14:paraId="4520B3C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ja profesionāli apmācīts personāls, izmantojot parasti pieejamos darbarīkus, ūdens sildītāju var viegli demontēt, lai veiktu remontu un nomainītu nolietojušās detaļas, aizstātu vecākas vai novecojušas detaļas ar jaunām un atdalītu detaļas un materiālus to pārstrādei vai atkārtotai izmantošanai. </w:t>
            </w:r>
          </w:p>
          <w:p w14:paraId="129DD83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 GĀZVEIDA ORGANISKĀ OGLEKĻA (OGC) EMISIJA </w:t>
            </w:r>
          </w:p>
          <w:p w14:paraId="4C7CD10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Papildu punktus piešķir, ja gāzveida organiskā oglekļa (OGC) emisijas nepārsniedz 7 mg/Nm</w:t>
            </w:r>
            <w:r w:rsidRPr="004A1D98">
              <w:rPr>
                <w:rFonts w:ascii="Times New Roman" w:eastAsia="Times New Roman" w:hAnsi="Times New Roman" w:cs="Times New Roman"/>
                <w:color w:val="000000"/>
                <w:sz w:val="28"/>
                <w:szCs w:val="28"/>
                <w:vertAlign w:val="superscript"/>
                <w:lang w:val="lv-LV" w:eastAsia="ja-JP"/>
              </w:rPr>
              <w:t xml:space="preserve">3 </w:t>
            </w:r>
            <w:r w:rsidRPr="004A1D98">
              <w:rPr>
                <w:rFonts w:ascii="Times New Roman" w:eastAsia="Times New Roman" w:hAnsi="Times New Roman" w:cs="Times New Roman"/>
                <w:color w:val="000000"/>
                <w:sz w:val="28"/>
                <w:szCs w:val="28"/>
                <w:lang w:val="lv-LV" w:eastAsia="ja-JP"/>
              </w:rPr>
              <w:t>pie O</w:t>
            </w:r>
            <w:r w:rsidRPr="004A1D98">
              <w:rPr>
                <w:rFonts w:ascii="Times New Roman" w:eastAsia="Times New Roman" w:hAnsi="Times New Roman" w:cs="Times New Roman"/>
                <w:color w:val="000000"/>
                <w:sz w:val="28"/>
                <w:szCs w:val="28"/>
                <w:vertAlign w:val="subscript"/>
                <w:lang w:val="lv-LV" w:eastAsia="ja-JP"/>
              </w:rPr>
              <w:t xml:space="preserve">2 </w:t>
            </w:r>
            <w:r w:rsidRPr="004A1D98">
              <w:rPr>
                <w:rFonts w:ascii="Times New Roman" w:eastAsia="Times New Roman" w:hAnsi="Times New Roman" w:cs="Times New Roman"/>
                <w:color w:val="000000"/>
                <w:sz w:val="28"/>
                <w:szCs w:val="28"/>
                <w:lang w:val="lv-LV" w:eastAsia="ja-JP"/>
              </w:rPr>
              <w:t xml:space="preserve"> satura 10 procenti. </w:t>
            </w:r>
          </w:p>
          <w:p w14:paraId="6B6B0C7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Par OGC emisijām piešķiramo maksimālo punktu skaitu piešķir visām tehnoloģijām, izņemot cietā kurināmā apsildes katlus, jo tie ir vienīgie, ko uzskata par problemātiskiem saistībā ar OGC emisijām. </w:t>
            </w:r>
          </w:p>
          <w:p w14:paraId="04C95F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Attiecībā uz cietā kurināmā apsildes katliem piešķiramos punktus aprēķina šādi: </w:t>
            </w:r>
          </w:p>
          <w:p w14:paraId="3C66AB2F"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POGC</w:t>
            </w:r>
            <w:r w:rsidRPr="004A1D98">
              <w:rPr>
                <w:rFonts w:ascii="Times New Roman" w:eastAsia="Times New Roman" w:hAnsi="Times New Roman" w:cs="Times New Roman"/>
                <w:b/>
                <w:color w:val="000000"/>
                <w:sz w:val="28"/>
                <w:szCs w:val="28"/>
                <w:lang w:val="lv-LV" w:eastAsia="ja-JP"/>
              </w:rPr>
              <w:t xml:space="preserve"> = OGC</w:t>
            </w:r>
            <w:r w:rsidRPr="004A1D98">
              <w:rPr>
                <w:rFonts w:ascii="Times New Roman" w:eastAsia="Times New Roman" w:hAnsi="Times New Roman" w:cs="Times New Roman"/>
                <w:b/>
                <w:color w:val="000000"/>
                <w:sz w:val="28"/>
                <w:szCs w:val="28"/>
                <w:vertAlign w:val="subscript"/>
                <w:lang w:val="lv-LV" w:eastAsia="ja-JP"/>
              </w:rPr>
              <w:t xml:space="preserve">min </w:t>
            </w:r>
            <w:r w:rsidRPr="004A1D98">
              <w:rPr>
                <w:rFonts w:ascii="Times New Roman" w:eastAsia="Times New Roman" w:hAnsi="Times New Roman" w:cs="Times New Roman"/>
                <w:b/>
                <w:color w:val="000000"/>
                <w:sz w:val="28"/>
                <w:szCs w:val="28"/>
                <w:lang w:val="lv-LV" w:eastAsia="ja-JP"/>
              </w:rPr>
              <w:t xml:space="preserve">/ OGC x </w:t>
            </w:r>
            <w:r w:rsidRPr="004A1D98">
              <w:rPr>
                <w:rFonts w:ascii="Times New Roman" w:eastAsia="Times New Roman" w:hAnsi="Times New Roman" w:cs="Times New Roman"/>
                <w:b/>
                <w:i/>
                <w:color w:val="000000"/>
                <w:sz w:val="28"/>
                <w:szCs w:val="28"/>
                <w:lang w:val="lv-LV" w:eastAsia="ja-JP"/>
              </w:rPr>
              <w:t>POGC</w:t>
            </w:r>
            <w:r w:rsidRPr="004A1D98">
              <w:rPr>
                <w:rFonts w:ascii="Times New Roman" w:eastAsia="Times New Roman" w:hAnsi="Times New Roman" w:cs="Times New Roman"/>
                <w:b/>
                <w:color w:val="000000"/>
                <w:sz w:val="28"/>
                <w:szCs w:val="28"/>
                <w:vertAlign w:val="subscript"/>
                <w:lang w:val="lv-LV" w:eastAsia="ja-JP"/>
              </w:rPr>
              <w:t xml:space="preserve">max </w:t>
            </w:r>
            <w:r w:rsidRPr="004A1D98">
              <w:rPr>
                <w:rFonts w:ascii="Times New Roman" w:eastAsia="Times New Roman" w:hAnsi="Times New Roman" w:cs="Times New Roman"/>
                <w:b/>
                <w:color w:val="000000"/>
                <w:sz w:val="28"/>
                <w:szCs w:val="28"/>
                <w:lang w:val="lv-LV" w:eastAsia="ja-JP"/>
              </w:rPr>
              <w:t>,</w:t>
            </w:r>
          </w:p>
          <w:p w14:paraId="49C2020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kur:</w:t>
            </w:r>
          </w:p>
          <w:p w14:paraId="32D51CEA"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POGC</w:t>
            </w:r>
            <w:r w:rsidRPr="004A1D98">
              <w:rPr>
                <w:rFonts w:ascii="Times New Roman" w:eastAsia="Times New Roman" w:hAnsi="Times New Roman" w:cs="Times New Roman"/>
                <w:color w:val="000000"/>
                <w:sz w:val="28"/>
                <w:szCs w:val="28"/>
                <w:lang w:val="lv-LV" w:eastAsia="ja-JP"/>
              </w:rPr>
              <w:t xml:space="preserve"> ir OGC emisiju punkti; </w:t>
            </w:r>
          </w:p>
          <w:p w14:paraId="34C30A56"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OGC</w:t>
            </w:r>
            <w:r w:rsidRPr="004A1D98">
              <w:rPr>
                <w:rFonts w:ascii="Times New Roman" w:eastAsia="Times New Roman" w:hAnsi="Times New Roman" w:cs="Times New Roman"/>
                <w:color w:val="000000"/>
                <w:sz w:val="28"/>
                <w:szCs w:val="28"/>
                <w:vertAlign w:val="subscript"/>
                <w:lang w:val="lv-LV" w:eastAsia="ja-JP"/>
              </w:rPr>
              <w:t>min</w:t>
            </w:r>
            <w:r w:rsidRPr="004A1D98">
              <w:rPr>
                <w:rFonts w:ascii="Times New Roman" w:eastAsia="Times New Roman" w:hAnsi="Times New Roman" w:cs="Times New Roman"/>
                <w:color w:val="000000"/>
                <w:sz w:val="28"/>
                <w:szCs w:val="28"/>
                <w:lang w:val="lv-LV" w:eastAsia="ja-JP"/>
              </w:rPr>
              <w:t xml:space="preserve"> ir zemākais OGC emisiju testa rezultāts par pilnīgi atbilstošu piedāvājumu, ņemot vērā piedāvājumus par cietā kurināmā apsildes katliem; </w:t>
            </w:r>
          </w:p>
          <w:p w14:paraId="39704A1A"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OGC ir novērtējamais OGC emisiju testa rezultāts; </w:t>
            </w:r>
          </w:p>
          <w:p w14:paraId="23D79E84"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POGC</w:t>
            </w:r>
            <w:r w:rsidRPr="004A1D98">
              <w:rPr>
                <w:rFonts w:ascii="Times New Roman" w:eastAsia="Times New Roman" w:hAnsi="Times New Roman" w:cs="Times New Roman"/>
                <w:i/>
                <w:color w:val="000000"/>
                <w:sz w:val="28"/>
                <w:szCs w:val="28"/>
                <w:vertAlign w:val="subscript"/>
                <w:lang w:val="lv-LV" w:eastAsia="ja-JP"/>
              </w:rPr>
              <w:t>max</w:t>
            </w:r>
            <w:r w:rsidRPr="004A1D98">
              <w:rPr>
                <w:rFonts w:ascii="Times New Roman" w:eastAsia="Times New Roman" w:hAnsi="Times New Roman" w:cs="Times New Roman"/>
                <w:color w:val="000000"/>
                <w:sz w:val="28"/>
                <w:szCs w:val="28"/>
                <w:vertAlign w:val="subscript"/>
                <w:lang w:val="lv-LV" w:eastAsia="ja-JP"/>
              </w:rPr>
              <w:t xml:space="preserve"> </w:t>
            </w:r>
            <w:r w:rsidRPr="004A1D98">
              <w:rPr>
                <w:rFonts w:ascii="Times New Roman" w:eastAsia="Times New Roman" w:hAnsi="Times New Roman" w:cs="Times New Roman"/>
                <w:color w:val="000000"/>
                <w:sz w:val="28"/>
                <w:szCs w:val="28"/>
                <w:lang w:val="lv-LV" w:eastAsia="ja-JP"/>
              </w:rPr>
              <w:t>ir maksimālais par OGC emisijām iegūstamo punktu skaits.</w:t>
            </w:r>
          </w:p>
          <w:p w14:paraId="21E8E3F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 DAĻIŅU (PM) EMISIJAS </w:t>
            </w:r>
          </w:p>
          <w:p w14:paraId="7E7EC63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Papildu punktus piešķir, ja daļiņu (PM) emisijas nepārsniedz 20 mg/Nm</w:t>
            </w:r>
            <w:r w:rsidRPr="004A1D98">
              <w:rPr>
                <w:rFonts w:ascii="Times New Roman" w:eastAsia="Times New Roman" w:hAnsi="Times New Roman" w:cs="Times New Roman"/>
                <w:color w:val="000000"/>
                <w:sz w:val="28"/>
                <w:szCs w:val="28"/>
                <w:vertAlign w:val="superscript"/>
                <w:lang w:val="lv-LV" w:eastAsia="ja-JP"/>
              </w:rPr>
              <w:t xml:space="preserve">3 </w:t>
            </w:r>
            <w:r w:rsidRPr="004A1D98">
              <w:rPr>
                <w:rFonts w:ascii="Times New Roman" w:eastAsia="Times New Roman" w:hAnsi="Times New Roman" w:cs="Times New Roman"/>
                <w:color w:val="000000"/>
                <w:sz w:val="28"/>
                <w:szCs w:val="28"/>
                <w:lang w:val="lv-LV" w:eastAsia="ja-JP"/>
              </w:rPr>
              <w:t>pie O</w:t>
            </w:r>
            <w:r w:rsidRPr="004A1D98">
              <w:rPr>
                <w:rFonts w:ascii="Times New Roman" w:eastAsia="Times New Roman" w:hAnsi="Times New Roman" w:cs="Times New Roman"/>
                <w:color w:val="000000"/>
                <w:sz w:val="28"/>
                <w:szCs w:val="28"/>
                <w:vertAlign w:val="subscript"/>
                <w:lang w:val="lv-LV" w:eastAsia="ja-JP"/>
              </w:rPr>
              <w:t xml:space="preserve">2 </w:t>
            </w:r>
            <w:r w:rsidRPr="004A1D98">
              <w:rPr>
                <w:rFonts w:ascii="Times New Roman" w:eastAsia="Times New Roman" w:hAnsi="Times New Roman" w:cs="Times New Roman"/>
                <w:color w:val="000000"/>
                <w:sz w:val="28"/>
                <w:szCs w:val="28"/>
                <w:lang w:val="lv-LV" w:eastAsia="ja-JP"/>
              </w:rPr>
              <w:t xml:space="preserve">satura 10 procenti. </w:t>
            </w:r>
          </w:p>
          <w:p w14:paraId="6087D28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Par PM emisijām piešķiramo maksimālo punktu skaitu piešķir visām tehnoloģijām, izņemot cietā kurināmā apsildes katlus, jo tie ir vienīgie, ko uzskata par problemātiskiem saistībā ar PM emisijām. </w:t>
            </w:r>
          </w:p>
          <w:p w14:paraId="55A439B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Attiecībā uz cietā kurināmā apsildes katliem piešķiramos punktus aprēķina šādi: </w:t>
            </w:r>
          </w:p>
          <w:p w14:paraId="184715EC"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PPM</w:t>
            </w:r>
            <w:r w:rsidRPr="004A1D98">
              <w:rPr>
                <w:rFonts w:ascii="Times New Roman" w:eastAsia="Times New Roman" w:hAnsi="Times New Roman" w:cs="Times New Roman"/>
                <w:b/>
                <w:color w:val="000000"/>
                <w:sz w:val="28"/>
                <w:szCs w:val="28"/>
                <w:vertAlign w:val="subscript"/>
                <w:lang w:val="lv-LV" w:eastAsia="ja-JP"/>
              </w:rPr>
              <w:t xml:space="preserve">min </w:t>
            </w:r>
            <w:r w:rsidRPr="004A1D98">
              <w:rPr>
                <w:rFonts w:ascii="Times New Roman" w:eastAsia="Times New Roman" w:hAnsi="Times New Roman" w:cs="Times New Roman"/>
                <w:b/>
                <w:color w:val="000000"/>
                <w:sz w:val="28"/>
                <w:szCs w:val="28"/>
                <w:lang w:val="lv-LV" w:eastAsia="ja-JP"/>
              </w:rPr>
              <w:t>/ PM x PPM</w:t>
            </w:r>
            <w:r w:rsidRPr="004A1D98">
              <w:rPr>
                <w:rFonts w:ascii="Times New Roman" w:eastAsia="Times New Roman" w:hAnsi="Times New Roman" w:cs="Times New Roman"/>
                <w:b/>
                <w:color w:val="000000"/>
                <w:sz w:val="28"/>
                <w:szCs w:val="28"/>
                <w:vertAlign w:val="subscript"/>
                <w:lang w:val="lv-LV" w:eastAsia="ja-JP"/>
              </w:rPr>
              <w:t>max</w:t>
            </w:r>
            <w:r w:rsidRPr="004A1D98">
              <w:rPr>
                <w:rFonts w:ascii="Times New Roman" w:eastAsia="Times New Roman" w:hAnsi="Times New Roman" w:cs="Times New Roman"/>
                <w:b/>
                <w:color w:val="000000"/>
                <w:sz w:val="28"/>
                <w:szCs w:val="28"/>
                <w:lang w:val="lv-LV" w:eastAsia="ja-JP"/>
              </w:rPr>
              <w:t xml:space="preserve"> ,</w:t>
            </w:r>
          </w:p>
          <w:p w14:paraId="7A20BC8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kur:</w:t>
            </w:r>
          </w:p>
          <w:p w14:paraId="54EE4171"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PPM ir PM emisiju punkti; </w:t>
            </w:r>
          </w:p>
          <w:p w14:paraId="53516C2F"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PM</w:t>
            </w:r>
            <w:r w:rsidRPr="004A1D98">
              <w:rPr>
                <w:rFonts w:ascii="Times New Roman" w:eastAsia="Times New Roman" w:hAnsi="Times New Roman" w:cs="Times New Roman"/>
                <w:color w:val="000000"/>
                <w:sz w:val="28"/>
                <w:szCs w:val="28"/>
                <w:vertAlign w:val="subscript"/>
                <w:lang w:val="lv-LV" w:eastAsia="ja-JP"/>
              </w:rPr>
              <w:t xml:space="preserve">min </w:t>
            </w:r>
            <w:r w:rsidRPr="004A1D98">
              <w:rPr>
                <w:rFonts w:ascii="Times New Roman" w:eastAsia="Times New Roman" w:hAnsi="Times New Roman" w:cs="Times New Roman"/>
                <w:color w:val="000000"/>
                <w:sz w:val="28"/>
                <w:szCs w:val="28"/>
                <w:lang w:val="lv-LV" w:eastAsia="ja-JP"/>
              </w:rPr>
              <w:t xml:space="preserve">ir zemākais PM emisiju testa rezultāts par pilnīgi atbilstošu piedāvājumu, ņemot vērā piedāvājumus par cietā kurināmā apsildes katliem; </w:t>
            </w:r>
          </w:p>
          <w:p w14:paraId="75B022A2" w14:textId="77777777" w:rsidR="000D67AB" w:rsidRPr="004A1D98" w:rsidRDefault="000D67AB" w:rsidP="00AB1BBF">
            <w:pPr>
              <w:numPr>
                <w:ilvl w:val="0"/>
                <w:numId w:val="31"/>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PM ir novērtējamais PM emisiju testa rezultāts; </w:t>
            </w:r>
          </w:p>
          <w:p w14:paraId="012D9FB6" w14:textId="77777777" w:rsidR="000D67AB" w:rsidRPr="004A1D98" w:rsidRDefault="000D67AB" w:rsidP="00AB1BBF">
            <w:pPr>
              <w:numPr>
                <w:ilvl w:val="0"/>
                <w:numId w:val="32"/>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PPM</w:t>
            </w:r>
            <w:r w:rsidRPr="004A1D98">
              <w:rPr>
                <w:rFonts w:ascii="Times New Roman" w:eastAsia="Times New Roman" w:hAnsi="Times New Roman" w:cs="Times New Roman"/>
                <w:color w:val="000000"/>
                <w:sz w:val="28"/>
                <w:szCs w:val="28"/>
                <w:vertAlign w:val="subscript"/>
                <w:lang w:val="lv-LV" w:eastAsia="ja-JP"/>
              </w:rPr>
              <w:t>max</w:t>
            </w:r>
            <w:r w:rsidRPr="004A1D98">
              <w:rPr>
                <w:rFonts w:ascii="Times New Roman" w:eastAsia="Times New Roman" w:hAnsi="Times New Roman" w:cs="Times New Roman"/>
                <w:color w:val="000000"/>
                <w:sz w:val="28"/>
                <w:szCs w:val="28"/>
                <w:lang w:val="lv-LV" w:eastAsia="ja-JP"/>
              </w:rPr>
              <w:t xml:space="preserve"> ir maksimālais par PM emisijām iegūstamo punktu skaits. </w:t>
            </w:r>
          </w:p>
        </w:tc>
      </w:tr>
    </w:tbl>
    <w:p w14:paraId="2110C4B5"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p>
    <w:p w14:paraId="1B572295" w14:textId="4D8A6012"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3</w:t>
      </w:r>
      <w:r w:rsidR="000D67AB" w:rsidRPr="004A1D98">
        <w:rPr>
          <w:rFonts w:ascii="Times New Roman" w:eastAsia="MS Gothic" w:hAnsi="Times New Roman" w:cs="Times New Roman"/>
          <w:b/>
          <w:bCs/>
          <w:color w:val="000000"/>
          <w:sz w:val="28"/>
          <w:szCs w:val="28"/>
          <w:lang w:val="lv-LV" w:eastAsia="lv-LV"/>
        </w:rPr>
        <w:t>. Dārzkopības produkti un pakalpojumi</w:t>
      </w:r>
    </w:p>
    <w:p w14:paraId="78D664E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Prasības un kritēriji  attiecināmi uz iepirkumiem, kas saistīti ar publiskās zaļās zonas apsaimniekošanu: dārzkopības produktiem, tehniku un pakalpojumiem publiskās zaļās zonas apsaimniekošanai. </w:t>
      </w:r>
    </w:p>
    <w:p w14:paraId="53E9C34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Dārzkopības pakalpojumus var sniegt nepastarpināti piegādātāja darbinieki vai ar pakalpojumu sniedzēja uzņēmuma starpniecību. Tādēļ šajā dokumentā ietverti kritēriji gan attiecībā uz galveno dārzkopības produktu un elementu, piem., augu sugu, augsnes ielabošanas līdzekļu, dārzkopības materiālu un instrumentu, iekārtu (zālāju pļaujmašīnas, smalcinātāji) un apūdeņošanas sistēmu tiešo iepirkumu, gan uz dārzkopības pakalpojumu iepirkumu, kuriem tiks noteiktas papildu prasības attiecībā uz transportu un citiem līguma izpildes noteikumiem. </w:t>
      </w:r>
    </w:p>
    <w:p w14:paraId="49F5D1E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Citi ar dārzkopību saistītie aspekti (dārza mēbeles, dārzkopības pakalpojumu sniedzēju apģērbs, izmantotais lieljaudas transports) apskatīti ar konkrēto jomu saistītajās preču/pakalpojumu grupās (mēbeles, tekstilizstrādājumi, transports).</w:t>
      </w:r>
    </w:p>
    <w:p w14:paraId="7682C44A" w14:textId="50947F7C"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3</w:t>
      </w:r>
      <w:r w:rsidR="000D67AB" w:rsidRPr="004A1D98">
        <w:rPr>
          <w:rFonts w:ascii="Times New Roman" w:eastAsia="MS Gothic" w:hAnsi="Times New Roman" w:cs="Times New Roman"/>
          <w:b/>
          <w:bCs/>
          <w:color w:val="000000"/>
          <w:sz w:val="28"/>
          <w:szCs w:val="28"/>
          <w:lang w:val="lv-LV" w:eastAsia="lv-LV"/>
        </w:rPr>
        <w:t>.1. Dārzkopības produkti</w:t>
      </w:r>
    </w:p>
    <w:p w14:paraId="11B1334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Šīs prasības un kritērijus ir ieteicams piemērot galvenajiem produktiem un iekārtām, ko izmanto dārzkopībā, piemēram:</w:t>
      </w:r>
    </w:p>
    <w:p w14:paraId="5DE518A6" w14:textId="77777777" w:rsidR="008473BE"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augsnes ielabošanas līdzekļiem; </w:t>
      </w:r>
    </w:p>
    <w:p w14:paraId="45C0E122" w14:textId="77777777" w:rsidR="008473BE"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lv-LV"/>
        </w:rPr>
        <w:t xml:space="preserve">dekoratīvajiem augiem; </w:t>
      </w:r>
    </w:p>
    <w:p w14:paraId="79B19C0A" w14:textId="77777777" w:rsidR="008473BE"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lv-LV"/>
        </w:rPr>
        <w:t xml:space="preserve">apūdeņošanas sistēmām; </w:t>
      </w:r>
    </w:p>
    <w:p w14:paraId="14BC5980" w14:textId="77777777" w:rsidR="008473BE"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lv-LV"/>
        </w:rPr>
        <w:t xml:space="preserve">dārza tehnikai; </w:t>
      </w:r>
    </w:p>
    <w:p w14:paraId="7637C720" w14:textId="77777777" w:rsidR="008473BE"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lv-LV"/>
        </w:rPr>
        <w:t xml:space="preserve">smēreļļām; </w:t>
      </w:r>
    </w:p>
    <w:p w14:paraId="4AD9B87B" w14:textId="77777777" w:rsidR="008473BE"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lv-LV"/>
        </w:rPr>
        <w:t xml:space="preserve">herbicīdiem un pesticīdiem; </w:t>
      </w:r>
    </w:p>
    <w:p w14:paraId="2ECFE69A" w14:textId="1D871E34" w:rsidR="000D67AB" w:rsidRPr="004A1D98" w:rsidRDefault="000D67AB" w:rsidP="00AB1BBF">
      <w:pPr>
        <w:numPr>
          <w:ilvl w:val="0"/>
          <w:numId w:val="33"/>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lv-LV"/>
        </w:rPr>
        <w:t xml:space="preserve">invazīviem augiem. </w:t>
      </w:r>
    </w:p>
    <w:p w14:paraId="78CE66E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 xml:space="preserve">Šie kritēriji attiecas tikai uz dārzkopības iekārtām, kuras ir aprīkotas ar degvielas motoriem, elektrodzinējiem, uzlādējamiem akumulatoriem vai ir darbināmas ar roku, piemēram: </w:t>
      </w:r>
    </w:p>
    <w:p w14:paraId="77680AD5"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zālāju pļaujmašīnām (ieskaitot zālāja traktorus) un skarifikatoriem; </w:t>
      </w:r>
    </w:p>
    <w:p w14:paraId="7C03A94A"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krūmzāģiem; </w:t>
      </w:r>
    </w:p>
    <w:p w14:paraId="05D4A75E"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ķēdes zāģiem; </w:t>
      </w:r>
    </w:p>
    <w:p w14:paraId="72A7A726"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vieglajām motorizkaptīm ar auklu; </w:t>
      </w:r>
    </w:p>
    <w:p w14:paraId="0A75BA43"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vieglajām motorizkaptīm un dzīvžogu šķērēm; </w:t>
      </w:r>
    </w:p>
    <w:p w14:paraId="36A6A6CB"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lapu savācējiem un lapu pūtējiem; </w:t>
      </w:r>
    </w:p>
    <w:p w14:paraId="7A2EEC95"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autoizkaptīm; </w:t>
      </w:r>
    </w:p>
    <w:p w14:paraId="3E072272"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frēzēm-kapļiem; </w:t>
      </w:r>
    </w:p>
    <w:p w14:paraId="6A537B09" w14:textId="77777777" w:rsidR="008473BE"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rotējošām zemes frēzēm; </w:t>
      </w:r>
    </w:p>
    <w:p w14:paraId="7692C05C" w14:textId="1FA40A6C" w:rsidR="000D67AB" w:rsidRPr="004A1D98" w:rsidRDefault="000D67AB" w:rsidP="00AB1BBF">
      <w:pPr>
        <w:numPr>
          <w:ilvl w:val="0"/>
          <w:numId w:val="34"/>
        </w:numPr>
        <w:suppressAutoHyphens/>
        <w:autoSpaceDN w:val="0"/>
        <w:spacing w:after="0" w:line="240" w:lineRule="auto"/>
        <w:ind w:left="0" w:firstLine="0"/>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komposta smalcinātājiem. </w:t>
      </w:r>
    </w:p>
    <w:p w14:paraId="76EA7F5B"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1D24C2AB" w14:textId="6BEB95EE" w:rsidR="000D67AB" w:rsidRPr="004A1D98" w:rsidRDefault="00D21B99"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3</w:t>
      </w:r>
      <w:r w:rsidR="000D67AB" w:rsidRPr="004A1D98">
        <w:rPr>
          <w:rFonts w:ascii="Times New Roman" w:eastAsia="MS Gothic" w:hAnsi="Times New Roman" w:cs="Times New Roman"/>
          <w:b/>
          <w:bCs/>
          <w:color w:val="000000"/>
          <w:sz w:val="28"/>
          <w:szCs w:val="28"/>
          <w:lang w:val="lv-LV" w:eastAsia="lv-LV"/>
        </w:rPr>
        <w:t>.1.1.  ZPI prasības dekoratīvajiem augiem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7FF9D310"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64CD04C"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BDFB399"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ZPI prasības </w:t>
            </w:r>
          </w:p>
        </w:tc>
      </w:tr>
      <w:tr w:rsidR="000D67AB" w:rsidRPr="004A1D98" w14:paraId="6D1B5A0A"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30EF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E0D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Dekoratīvo augu un koku iepirkšana</w:t>
            </w:r>
          </w:p>
        </w:tc>
      </w:tr>
      <w:tr w:rsidR="000D67AB" w:rsidRPr="004A1D98" w14:paraId="28CFD999"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A2BD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0BAD6"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AUGU RAKSTUROJUMS</w:t>
            </w:r>
          </w:p>
          <w:p w14:paraId="0F1C748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1.1. Vismaz [X] procenti dekoratīvo augu ir jābūt tādām augu sugām, kas ir piemērotas vietējiem augšanas apstākļiem (piem., augsnes skābums, vidējais nokrišņu daudzums, temperatūras diapazons gada laikā utt.).</w:t>
            </w:r>
          </w:p>
          <w:p w14:paraId="51AEBE7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1.2. Vismaz [Y] procenti dekoratīvo augu ir jābūt bioloģiski izaudzētiem saskaņā ar Padomes </w:t>
            </w:r>
            <w:r w:rsidRPr="004A1D98">
              <w:rPr>
                <w:rFonts w:ascii="Times New Roman" w:eastAsia="Times New Roman" w:hAnsi="Times New Roman" w:cs="Times New Roman"/>
                <w:bCs/>
                <w:color w:val="000000"/>
                <w:sz w:val="28"/>
                <w:szCs w:val="28"/>
                <w:lang w:val="lv-LV" w:eastAsia="ja-JP"/>
              </w:rPr>
              <w:t>2007. gada 28. jūnija</w:t>
            </w:r>
            <w:r w:rsidRPr="004A1D98">
              <w:rPr>
                <w:rFonts w:ascii="Times New Roman" w:eastAsia="Times New Roman" w:hAnsi="Times New Roman" w:cs="Times New Roman"/>
                <w:color w:val="000000"/>
                <w:sz w:val="28"/>
                <w:szCs w:val="28"/>
                <w:lang w:val="lv-LV" w:eastAsia="ja-JP"/>
              </w:rPr>
              <w:t xml:space="preserve"> Regulu (EK) Nr. 834/2007</w:t>
            </w:r>
            <w:r w:rsidRPr="004A1D98">
              <w:rPr>
                <w:rFonts w:ascii="Times New Roman" w:eastAsia="Times New Roman" w:hAnsi="Times New Roman" w:cs="Times New Roman"/>
                <w:b/>
                <w:bCs/>
                <w:color w:val="000000"/>
                <w:sz w:val="28"/>
                <w:szCs w:val="28"/>
                <w:lang w:val="lv-LV" w:eastAsia="ja-JP"/>
              </w:rPr>
              <w:t xml:space="preserve"> </w:t>
            </w:r>
            <w:r w:rsidRPr="004A1D98">
              <w:rPr>
                <w:rFonts w:ascii="Times New Roman" w:eastAsia="Times New Roman" w:hAnsi="Times New Roman" w:cs="Times New Roman"/>
                <w:color w:val="000000"/>
                <w:sz w:val="28"/>
                <w:szCs w:val="28"/>
                <w:lang w:val="lv-LV" w:eastAsia="ja-JP"/>
              </w:rPr>
              <w:t xml:space="preserve">par bioloģisko ražošanu un bioloģisko produktu marķēšanu un par Regulas (EEK) Nr. 2092/91 atcelšanu. </w:t>
            </w:r>
          </w:p>
          <w:p w14:paraId="37CD1B1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2. STĀDU KONTEINERI</w:t>
            </w:r>
          </w:p>
          <w:p w14:paraId="52952EF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Augus jāpiegādā pārstrādājamos vai bioloģiski noārdāmos konteineros. Ja stādu konteineri ir atkārtoti izmantojami, pēc augu/koku iestādīšanas uzņēmumam tie ir jāpaņem atpakaļ. Ja stādu konteineri bioloģiski noārdās: </w:t>
            </w:r>
          </w:p>
          <w:p w14:paraId="4037FCB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2.1.tiem ir jābūt 100 procenti izgatavotiem no bioloģiski noārdāmām (kompostējamām) vielām, piemēram, salmiem, korķa, koksnes miltiem, kukurūzas cietes; </w:t>
            </w:r>
          </w:p>
          <w:p w14:paraId="3EE6044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2.2.tie nedrīkst saturēt sintētiskus plastikas materiālus, plastifikatorus vai biocīdas vielas, piemēram, tādas vielas, kas ir biocīdu vai konservantu sastāvā. </w:t>
            </w:r>
          </w:p>
          <w:p w14:paraId="193E891C"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3. IEPAKOJUMS</w:t>
            </w:r>
          </w:p>
          <w:p w14:paraId="0F1EB9F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Mazus augus jāpiegādā redeļu kastēs vai kastēs, ko var nodot atpakaļ.</w:t>
            </w:r>
          </w:p>
        </w:tc>
      </w:tr>
    </w:tbl>
    <w:p w14:paraId="48DB78E8"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p w14:paraId="26BA2A35" w14:textId="47E3BC27" w:rsidR="000D67AB" w:rsidRPr="004A1D98" w:rsidRDefault="00D21B99" w:rsidP="00426910">
      <w:pPr>
        <w:spacing w:before="120" w:after="120" w:line="240" w:lineRule="auto"/>
        <w:jc w:val="center"/>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b/>
          <w:color w:val="000000"/>
          <w:sz w:val="28"/>
          <w:szCs w:val="28"/>
          <w:lang w:val="lv-LV" w:eastAsia="lv-LV"/>
        </w:rPr>
        <w:t>3</w:t>
      </w:r>
      <w:r w:rsidR="000D67AB" w:rsidRPr="004A1D98">
        <w:rPr>
          <w:rFonts w:ascii="Times New Roman" w:eastAsia="Times New Roman" w:hAnsi="Times New Roman" w:cs="Times New Roman"/>
          <w:b/>
          <w:color w:val="000000"/>
          <w:sz w:val="28"/>
          <w:szCs w:val="28"/>
          <w:lang w:val="lv-LV" w:eastAsia="lv-LV"/>
        </w:rPr>
        <w:t>.1.2.  ZPI prasības augsnes ielabošanas līdzekļiem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153FB1F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EF2097F"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6632999"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ZPI prasības </w:t>
            </w:r>
          </w:p>
        </w:tc>
      </w:tr>
      <w:tr w:rsidR="000D67AB" w:rsidRPr="004A1D98" w14:paraId="203328B7"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B335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D459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Videi draudzīgu augsnes ielabošanas līdzekļu iepirkums.</w:t>
            </w:r>
          </w:p>
        </w:tc>
      </w:tr>
      <w:tr w:rsidR="000D67AB" w:rsidRPr="004A1D98" w14:paraId="16C4C0FA"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DC82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53C1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Cs/>
                <w:color w:val="000000"/>
                <w:sz w:val="28"/>
                <w:szCs w:val="28"/>
                <w:lang w:val="lv-LV"/>
              </w:rPr>
              <w:t>1. MĒSLOŠANĀ IZMANTOJAMO AUGSNES IELABOŠANAS LĪDZEKĻU GALVENĀS SASTĀVDAĻAS</w:t>
            </w:r>
            <w:r w:rsidRPr="004A1D98">
              <w:rPr>
                <w:rFonts w:ascii="Times New Roman" w:eastAsia="Times New Roman" w:hAnsi="Times New Roman" w:cs="Times New Roman"/>
                <w:b/>
                <w:color w:val="000000"/>
                <w:sz w:val="28"/>
                <w:szCs w:val="28"/>
                <w:lang w:val="lv-LV" w:eastAsia="lv-LV"/>
              </w:rPr>
              <w:t xml:space="preserve"> </w:t>
            </w:r>
          </w:p>
          <w:p w14:paraId="333E2A3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1.1. Augsnes ielabošanas līdzekļi, ko paredzēts izmantot pakalpojumu sniegšanā, nedrīkst saturēt kūdru vai notekūdeņu dūņas.</w:t>
            </w:r>
          </w:p>
          <w:p w14:paraId="72E6A29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1.2. Organiskajām vielām ir jābūt iegūtām no atkritumu pārstrādes un/vai atkārtotas izmantošanas (kā noteikts </w:t>
            </w:r>
            <w:r w:rsidRPr="004A1D98">
              <w:rPr>
                <w:rFonts w:ascii="Times New Roman" w:eastAsia="Times New Roman" w:hAnsi="Times New Roman" w:cs="Times New Roman"/>
                <w:bCs/>
                <w:color w:val="000000"/>
                <w:sz w:val="28"/>
                <w:szCs w:val="28"/>
                <w:lang w:val="lv-LV" w:eastAsia="ja-JP"/>
              </w:rPr>
              <w:t xml:space="preserve">Ministru kabineta </w:t>
            </w:r>
            <w:r w:rsidRPr="004A1D98">
              <w:rPr>
                <w:rFonts w:ascii="Times New Roman" w:eastAsia="Times New Roman" w:hAnsi="Times New Roman" w:cs="Times New Roman"/>
                <w:color w:val="000000"/>
                <w:sz w:val="28"/>
                <w:szCs w:val="28"/>
                <w:lang w:val="lv-LV" w:eastAsia="ja-JP"/>
              </w:rPr>
              <w:t xml:space="preserve">2011.gada 26.aprīļa </w:t>
            </w:r>
            <w:r w:rsidRPr="004A1D98">
              <w:rPr>
                <w:rFonts w:ascii="Times New Roman" w:eastAsia="Times New Roman" w:hAnsi="Times New Roman" w:cs="Times New Roman"/>
                <w:bCs/>
                <w:color w:val="000000"/>
                <w:sz w:val="28"/>
                <w:szCs w:val="28"/>
                <w:lang w:val="lv-LV" w:eastAsia="ja-JP"/>
              </w:rPr>
              <w:t>noteikumos Nr.319</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Noteikumi par atkritumu reģenerācijas un apglabāšanas veidiem"</w:t>
            </w:r>
            <w:r w:rsidRPr="004A1D98">
              <w:rPr>
                <w:rFonts w:ascii="Times New Roman" w:eastAsia="Times New Roman" w:hAnsi="Times New Roman" w:cs="Times New Roman"/>
                <w:color w:val="000000"/>
                <w:sz w:val="28"/>
                <w:szCs w:val="28"/>
                <w:lang w:val="lv-LV" w:eastAsia="ja-JP"/>
              </w:rPr>
              <w:t xml:space="preserve"> un to I pielikumā). </w:t>
            </w:r>
          </w:p>
          <w:p w14:paraId="14F7C16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 Dūņas (izņemot kanalizācijas dūņas) ir atļautas tikai tad, ja tās ir atzītas par kādu no šādiem atkritumiem atbilstoši Ministru kabineta </w:t>
            </w:r>
            <w:r w:rsidRPr="004A1D98">
              <w:rPr>
                <w:rFonts w:ascii="Times New Roman" w:eastAsia="Times New Roman" w:hAnsi="Times New Roman" w:cs="Times New Roman"/>
                <w:color w:val="000000"/>
                <w:sz w:val="28"/>
                <w:szCs w:val="28"/>
                <w:shd w:val="clear" w:color="auto" w:fill="FFFFFF"/>
                <w:lang w:val="lv-LV" w:eastAsia="ja-JP"/>
              </w:rPr>
              <w:t>2011.gada 19.aprīļa Noteikumiem Nr. 302 "</w:t>
            </w:r>
            <w:r w:rsidRPr="004A1D98">
              <w:rPr>
                <w:rFonts w:ascii="Times New Roman" w:eastAsia="Times New Roman" w:hAnsi="Times New Roman" w:cs="Times New Roman"/>
                <w:bCs/>
                <w:color w:val="000000"/>
                <w:sz w:val="28"/>
                <w:szCs w:val="28"/>
                <w:shd w:val="clear" w:color="auto" w:fill="FFFFFF"/>
                <w:lang w:val="lv-LV" w:eastAsia="ja-JP"/>
              </w:rPr>
              <w:t xml:space="preserve">Noteikumi par atkritumu klasifikatoru un īpašībām, kuras padara atkritumus bīstamus", </w:t>
            </w:r>
            <w:r w:rsidRPr="004A1D98">
              <w:rPr>
                <w:rFonts w:ascii="Times New Roman" w:eastAsia="Times New Roman" w:hAnsi="Times New Roman" w:cs="Times New Roman"/>
                <w:color w:val="000000"/>
                <w:sz w:val="28"/>
                <w:szCs w:val="28"/>
                <w:lang w:val="lv-LV" w:eastAsia="ja-JP"/>
              </w:rPr>
              <w:t xml:space="preserve">attiecībā uz atkritumu sarakstu, un tad, ja tās nav sajaukušās ar kaitīgiem notekūdeņiem vai dūņām ārpus noteiktā ražošanas procesa): </w:t>
            </w:r>
          </w:p>
          <w:p w14:paraId="7FC2C0A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1.3.1. 020305 notekūdeņu vietējā attīrīšanā radušās dūņas, sagatavojot un pārstrādājot augļus, dārzeņus, graudaugus, pārtikas eļļas, kakao, kafiju, tēju un tabaku, konservējot, ražojot raugu un rauga ekstraktu, sagatavojot un raudzējot melasi; </w:t>
            </w:r>
          </w:p>
          <w:p w14:paraId="6D66217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1.3.2. 020403 dūņas no cukura ražošanas procesā radušos kaitīgo notekūdeņu vietējās attīrīšanas; </w:t>
            </w:r>
          </w:p>
          <w:p w14:paraId="021E6E5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1.3.3. 020502 dūņas no piena produktu ražošanas procesā radušos kaitīgo notekūdeņu vietējās attīrīšanas; </w:t>
            </w:r>
          </w:p>
          <w:p w14:paraId="647B6AD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1.3.4. 020603 dūņas no maizes ceptuvēs un konditorejas izstrādājumu ražošanas procesā radušos kaitīgo notekūdeņu vietējās attīrīšanas; </w:t>
            </w:r>
          </w:p>
          <w:p w14:paraId="6DBEFAF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1.3.5. 020705 dūņas no alkoholisko un bezalkoholisko dzērienu (izņemot kafiju, tēju un kakao) ražošanas procesā radušos kaitīgo notekūdeņu vietējās attīrīšanas. </w:t>
            </w:r>
          </w:p>
          <w:p w14:paraId="52AF01C4"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BĪSTAMĀS VIELAS MĒSLOŠANĀ IZMANTOJAMAJOS AUGSNES IELABOŠANAS LĪDZEKĻOS </w:t>
            </w:r>
          </w:p>
          <w:p w14:paraId="1EE397D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Maksimālajai smago metālu koncentrācijai atkritumos pirms pārstrādes (mg/kg saussvara) ir jāatbilst turpmāk norādītajām prasībām attiecībā uz bīstamajām vielām. Šajā tabulā iekļauto elementu saturam galaproduktā ir jābūt mazākam par tajā norādīto saussvaru. </w:t>
            </w:r>
          </w:p>
          <w:tbl>
            <w:tblPr>
              <w:tblW w:w="3948" w:type="dxa"/>
              <w:tblCellMar>
                <w:left w:w="10" w:type="dxa"/>
                <w:right w:w="10" w:type="dxa"/>
              </w:tblCellMar>
              <w:tblLook w:val="04A0" w:firstRow="1" w:lastRow="0" w:firstColumn="1" w:lastColumn="0" w:noHBand="0" w:noVBand="1"/>
            </w:tblPr>
            <w:tblGrid>
              <w:gridCol w:w="1974"/>
              <w:gridCol w:w="1974"/>
            </w:tblGrid>
            <w:tr w:rsidR="000D67AB" w:rsidRPr="004A1D98" w14:paraId="57746B88"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4F291"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Elements</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A67E4"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Saussvars</w:t>
                  </w:r>
                </w:p>
                <w:p w14:paraId="3C1046AF" w14:textId="77777777" w:rsidR="000D67AB" w:rsidRPr="004A1D98" w:rsidRDefault="000D67AB" w:rsidP="00426910">
                  <w:pPr>
                    <w:spacing w:after="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(mg/kg)</w:t>
                  </w:r>
                </w:p>
              </w:tc>
            </w:tr>
            <w:tr w:rsidR="000D67AB" w:rsidRPr="004A1D98" w14:paraId="6FE11776"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E36F2"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Zn</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EA307"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300</w:t>
                  </w:r>
                </w:p>
              </w:tc>
            </w:tr>
            <w:tr w:rsidR="000D67AB" w:rsidRPr="004A1D98" w14:paraId="2FC37E5E"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DF47E"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Cu</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94B88"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100</w:t>
                  </w:r>
                </w:p>
              </w:tc>
            </w:tr>
            <w:tr w:rsidR="000D67AB" w:rsidRPr="004A1D98" w14:paraId="67D211FB"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3AD71"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Ni</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1CB53"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50</w:t>
                  </w:r>
                </w:p>
              </w:tc>
            </w:tr>
            <w:tr w:rsidR="000D67AB" w:rsidRPr="004A1D98" w14:paraId="516D70E5"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8BA6E"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Cd</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C52F"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p>
              </w:tc>
            </w:tr>
            <w:tr w:rsidR="000D67AB" w:rsidRPr="004A1D98" w14:paraId="2469A4EF"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0D7CE"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Pb</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3F924"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100</w:t>
                  </w:r>
                </w:p>
              </w:tc>
            </w:tr>
            <w:tr w:rsidR="000D67AB" w:rsidRPr="004A1D98" w14:paraId="5BDFAEA3"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929E9"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Hg</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99541"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p>
              </w:tc>
            </w:tr>
            <w:tr w:rsidR="000D67AB" w:rsidRPr="004A1D98" w14:paraId="31356B4E"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B7CC1"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Cr</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DD447"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100</w:t>
                  </w:r>
                </w:p>
              </w:tc>
            </w:tr>
            <w:tr w:rsidR="000D67AB" w:rsidRPr="004A1D98" w14:paraId="332FF757"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25C0F"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Mo (*)</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2ABA6"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w:t>
                  </w:r>
                </w:p>
              </w:tc>
            </w:tr>
            <w:tr w:rsidR="000D67AB" w:rsidRPr="004A1D98" w14:paraId="7AEF76D1"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09E25"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Se (*)</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FCD9B"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1,5</w:t>
                  </w:r>
                </w:p>
              </w:tc>
            </w:tr>
            <w:tr w:rsidR="000D67AB" w:rsidRPr="004A1D98" w14:paraId="2A9D50EB"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E2304"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As (*)</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22A4A"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w:t>
                  </w:r>
                </w:p>
              </w:tc>
            </w:tr>
            <w:tr w:rsidR="000D67AB" w:rsidRPr="004A1D98" w14:paraId="267D02EE" w14:textId="77777777" w:rsidTr="000A7815">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620C2"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F (*)</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3A710"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200</w:t>
                  </w:r>
                </w:p>
              </w:tc>
            </w:tr>
          </w:tbl>
          <w:p w14:paraId="24E6307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Dati par šo elementu klātbūtni ir nepieciešami tikai attiecībā uz produktiem, kas satur vielas no rūpnieciskiem procesiem. </w:t>
            </w:r>
          </w:p>
          <w:p w14:paraId="2DDD1992"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3. FIZIKĀLIE PIEJAUKUMI MĒSLOŠANĀ IZMANTOJAMAJOS AUGSNES IELABOŠANAS LĪDZEKĻOS </w:t>
            </w:r>
          </w:p>
          <w:p w14:paraId="162ACA9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Galaproduktā stikla, metāla un plastmasas saturam (visu elementa summai) ir jābūt mazākam par 0,5 procenti saussvara. </w:t>
            </w:r>
          </w:p>
          <w:p w14:paraId="02A9A599"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4. SLĀPEKLIS (N) MĒSLOŠANĀ IZMANTOJAMAJOS AUGSNES IELABOŠANAS LĪDZEKĻOS </w:t>
            </w:r>
          </w:p>
          <w:p w14:paraId="4142834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Slāpekļa saturs produktā nedrīkst pārsniegt 3 procenti no kopējā N (pēc svara) daudzuma, un neorganiskais N nedrīkst pārsniegt 20 procenti no kopējā N daudzuma (vai organiskais N ≥ 80 procenti). </w:t>
            </w:r>
          </w:p>
          <w:p w14:paraId="2FB3D49A"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5. MĒSLOŠANĀ IZMANTOJAMO AUGSNES IELABOŠANAS LĪDZEKĻU IEDARBĪBA </w:t>
            </w:r>
          </w:p>
          <w:p w14:paraId="20EFE83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Produktiem nedrīkst būt negatīva ietekme uz augu dīdzību un turpmāko augšanu un attīstību, un masas sausnas saturam ir jābūt ne zemākam par 25 procenti, kā arī masas sausnai ir jāsatur ne mazāk kā 20 procenti organisko vielu. </w:t>
            </w:r>
          </w:p>
          <w:p w14:paraId="2EAB8E3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rPr>
              <w:t>6. VESELĪBAS UN DROŠĪBAS ASPEKTI ATTIECĪBĀ UZ MĒSLOŠANĀ IZMANTOJAMAJIEM AUGSNES IELABOŠANAS LĪDZEKĻIEM</w:t>
            </w:r>
            <w:r w:rsidRPr="004A1D98">
              <w:rPr>
                <w:rFonts w:ascii="Times New Roman" w:eastAsia="Times New Roman" w:hAnsi="Times New Roman" w:cs="Times New Roman"/>
                <w:b/>
                <w:color w:val="000000"/>
                <w:sz w:val="28"/>
                <w:szCs w:val="28"/>
                <w:lang w:val="lv-LV" w:eastAsia="ja-JP"/>
              </w:rPr>
              <w:t xml:space="preserve"> </w:t>
            </w:r>
          </w:p>
          <w:p w14:paraId="067CD6B0"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Produkti nedrīkst saturēt zemāk norādīto primāro patogēnu maksimālo līmeni: </w:t>
            </w:r>
          </w:p>
          <w:p w14:paraId="7E44E29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6.1. salmonella: nekonstatē 25 g produkta; </w:t>
            </w:r>
          </w:p>
          <w:p w14:paraId="33B4E39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6.2. helmintu oliņas: nekonstatē 1,5 g produkta;</w:t>
            </w:r>
          </w:p>
          <w:p w14:paraId="3D8AF423"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 E.coli: &lt;1000 MPN/g (MPN: most probable number – varbūtīgākais skaits) </w:t>
            </w:r>
          </w:p>
        </w:tc>
      </w:tr>
    </w:tbl>
    <w:p w14:paraId="152BFDA1"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p>
    <w:p w14:paraId="53ADD5EA" w14:textId="06B60534" w:rsidR="000D67AB" w:rsidRPr="004A1D98" w:rsidRDefault="00D21B99" w:rsidP="00426910">
      <w:pPr>
        <w:spacing w:before="120" w:after="120" w:line="240" w:lineRule="auto"/>
        <w:jc w:val="center"/>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b/>
          <w:color w:val="000000"/>
          <w:sz w:val="28"/>
          <w:szCs w:val="28"/>
          <w:lang w:val="lv-LV" w:eastAsia="lv-LV"/>
        </w:rPr>
        <w:t>3</w:t>
      </w:r>
      <w:r w:rsidR="000D67AB" w:rsidRPr="004A1D98">
        <w:rPr>
          <w:rFonts w:ascii="Times New Roman" w:eastAsia="Times New Roman" w:hAnsi="Times New Roman" w:cs="Times New Roman"/>
          <w:b/>
          <w:color w:val="000000"/>
          <w:sz w:val="28"/>
          <w:szCs w:val="28"/>
          <w:lang w:val="lv-LV" w:eastAsia="lv-LV"/>
        </w:rPr>
        <w:t>.1.3.  ZPI prasības un kritēriji apūdeņošanas (laistīšanas) sistēmām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520C37F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EF45656"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EA10367"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1BA41FCE"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B1B3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0518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Automātisko apūdeņošanas (laistīšanas) sistēmu iepirkšana</w:t>
            </w:r>
          </w:p>
        </w:tc>
      </w:tr>
      <w:tr w:rsidR="000D67AB" w:rsidRPr="004A1D98" w14:paraId="002BC99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4D61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4EE70"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PRASĪBAS APŪDEŅOŠANAS SISTĒMAI</w:t>
            </w:r>
          </w:p>
          <w:p w14:paraId="2DEC3B99" w14:textId="77777777" w:rsidR="000D67AB" w:rsidRPr="004A1D98" w:rsidRDefault="000D67AB" w:rsidP="00426910">
            <w:pPr>
              <w:suppressAutoHyphens/>
              <w:autoSpaceDN w:val="0"/>
              <w:spacing w:before="120" w:after="120" w:line="240" w:lineRule="auto"/>
              <w:jc w:val="both"/>
              <w:textAlignment w:val="baseline"/>
              <w:rPr>
                <w:rFonts w:ascii="Times New Roman" w:eastAsia="MS Gothic"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1.1. Apūdeņošanas sistēmai ir jābūt pielāgojamai izlaistītā ūdens daudzuma ziņā pa zonām. </w:t>
            </w:r>
          </w:p>
          <w:p w14:paraId="5AB71F3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1.2. Apūdeņošanas sistēmai ir jābūt ar regulējamiem taimeriem laistīšanas perioda programmēšanai. </w:t>
            </w:r>
          </w:p>
          <w:p w14:paraId="3E3486F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1.3. Apūdeņošanas sistēmai ir jābūt ar higrometriem, kas mēra augsnes mitruma līmeni un automātiski bloķē apūdeņošanu, kad augsnes mitruma līmenis ir pietiekams (piemēram, pēc lietus). </w:t>
            </w:r>
          </w:p>
        </w:tc>
      </w:tr>
      <w:tr w:rsidR="000D67AB" w:rsidRPr="004A1D98" w14:paraId="31125015"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08CD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8647D"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ŪDENS NO VIETĒJI PĀRSTRĀDĀTIEM RESURSIEM</w:t>
            </w:r>
          </w:p>
          <w:p w14:paraId="2283B06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punkti tiks piešķirti, ja apūdeņošanas sistēma var savākt un izmantot ūdeni no vietēji pārstrādātiem resursiem, piemēram, lietus ūdens, gruntsūdens un filtrēta sadzīves notekūdens.</w:t>
            </w:r>
          </w:p>
        </w:tc>
      </w:tr>
    </w:tbl>
    <w:p w14:paraId="2696FD1D"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p>
    <w:p w14:paraId="0978FFF4" w14:textId="0FF257FD" w:rsidR="000D67AB" w:rsidRPr="004A1D98" w:rsidRDefault="00AB4C4F" w:rsidP="00426910">
      <w:pPr>
        <w:spacing w:before="120" w:after="120" w:line="240" w:lineRule="auto"/>
        <w:jc w:val="center"/>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b/>
          <w:color w:val="000000"/>
          <w:sz w:val="28"/>
          <w:szCs w:val="28"/>
          <w:lang w:val="lv-LV" w:eastAsia="lv-LV"/>
        </w:rPr>
        <w:t>3</w:t>
      </w:r>
      <w:r w:rsidR="000D67AB" w:rsidRPr="004A1D98">
        <w:rPr>
          <w:rFonts w:ascii="Times New Roman" w:eastAsia="Times New Roman" w:hAnsi="Times New Roman" w:cs="Times New Roman"/>
          <w:b/>
          <w:color w:val="000000"/>
          <w:sz w:val="28"/>
          <w:szCs w:val="28"/>
          <w:lang w:val="lv-LV" w:eastAsia="lv-LV"/>
        </w:rPr>
        <w:t>.1.4.  ZPI prasības un kritēriji dārzkopības iekārtām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7BF31A43"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1FFF2E2"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158744"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7E8AF885"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3760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39D6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Dārza tehnikas ar samazinātu ietekmi uz vidi iepirkšana</w:t>
            </w:r>
          </w:p>
        </w:tc>
      </w:tr>
      <w:tr w:rsidR="000D67AB" w:rsidRPr="004A1D98" w14:paraId="42F340A3" w14:textId="77777777" w:rsidTr="000A7815">
        <w:trPr>
          <w:trHeight w:val="273"/>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D00A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FB826"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DEGVIELAS VEIDI IEKĀRTĀM, KURĀS IR IZMANTOTS IEKŠDEDZES DZINĒJS </w:t>
            </w:r>
          </w:p>
          <w:p w14:paraId="5A0878B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Ja iekārtai ir iekšdedzes dzinējs, tas projektēts tā, lai to var darbināt ar vienu vai vairākiem šādiem degvielas veidiem: bezsvina degviela ar benzīna saturu &lt;1,0 procenti tilpuma, alkilāta degviela, A klases dīzeļa eļļa vai uz biodegvielu balstīta motora degviela. </w:t>
            </w:r>
          </w:p>
          <w:p w14:paraId="120B3E47"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TROKŠŅA EMISIJA</w:t>
            </w:r>
          </w:p>
          <w:p w14:paraId="5460D5B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Iekārtas trokšņa emisijas līmenim ir jābūt zemākam par tabulā norādīto trokšņa līmeni. </w:t>
            </w:r>
          </w:p>
          <w:p w14:paraId="21F31EC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Zālāju pļaujmašīnām (iesk. zālāja traktorus)</w:t>
            </w:r>
            <w:r w:rsidRPr="004A1D98">
              <w:rPr>
                <w:rFonts w:ascii="Times New Roman" w:eastAsia="Times New Roman" w:hAnsi="Times New Roman" w:cs="Times New Roman"/>
                <w:color w:val="000000"/>
                <w:sz w:val="28"/>
                <w:szCs w:val="28"/>
                <w:lang w:val="lv-LV" w:eastAsia="lv-LV"/>
              </w:rPr>
              <w:t>:</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7715147B"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1721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Pļaušanas platums L</w:t>
                  </w:r>
                </w:p>
                <w:p w14:paraId="77B2D17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(cm)</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ABEC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6B9CDB75"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FA41F"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L ≤ 50 </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839C4"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94</w:t>
                  </w:r>
                </w:p>
              </w:tc>
            </w:tr>
            <w:tr w:rsidR="000D67AB" w:rsidRPr="004A1D98" w14:paraId="0F5F8759" w14:textId="77777777" w:rsidTr="000A7815">
              <w:trPr>
                <w:trHeight w:val="408"/>
              </w:trPr>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C0DB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50 &lt; L ≤ 120</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7FDC7"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98</w:t>
                  </w:r>
                </w:p>
              </w:tc>
            </w:tr>
            <w:tr w:rsidR="000D67AB" w:rsidRPr="004A1D98" w14:paraId="73BA0FF4"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822D1"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 &gt; 120</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CA2B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103</w:t>
                  </w:r>
                </w:p>
              </w:tc>
            </w:tr>
          </w:tbl>
          <w:p w14:paraId="4402F18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Skarifikatoriem:</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36556449"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9E6C5"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dzinēja tīrā nominālā jauda P</w:t>
                  </w:r>
                </w:p>
                <w:p w14:paraId="7116FC04"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073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53CF653E"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5160C"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B6F7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99+ 2 lgP</w:t>
                  </w:r>
                </w:p>
              </w:tc>
            </w:tr>
          </w:tbl>
          <w:p w14:paraId="566BECE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Krūmgriežiem:</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083A6E17"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BB9DA"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dzinēja tīrā nominālā jauda P (kW)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59D91"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267B1ED4"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E147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 ≤ 1,5kW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4D8B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107</w:t>
                  </w:r>
                </w:p>
              </w:tc>
            </w:tr>
            <w:tr w:rsidR="000D67AB" w:rsidRPr="004A1D98" w14:paraId="3712F242"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A7AF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 &gt; 1,5kW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C284E"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110</w:t>
                  </w:r>
                </w:p>
              </w:tc>
            </w:tr>
          </w:tbl>
          <w:p w14:paraId="6CE4911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Ķēdes zāģiem:</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170DE86A"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FD5C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69D9482C"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Tīrā nominālā jauda P (kW)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2BD1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2AD407C2"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9ED0C"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Elektromotors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7A43A"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104</w:t>
                  </w:r>
                </w:p>
              </w:tc>
            </w:tr>
            <w:tr w:rsidR="000D67AB" w:rsidRPr="004A1D98" w14:paraId="4F660F7F"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A6A48"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C069A"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108 + 2 P</w:t>
                  </w:r>
                </w:p>
              </w:tc>
            </w:tr>
          </w:tbl>
          <w:p w14:paraId="196D54E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Vieglajām motorizkaptīm ar auklu:</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65666D6E"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EECA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5EA86D45"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Motors/dzinējs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4E447"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459E72C6"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0F5B2"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Elektromotors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E743F"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94</w:t>
                  </w:r>
                </w:p>
              </w:tc>
            </w:tr>
            <w:tr w:rsidR="000D67AB" w:rsidRPr="004A1D98" w14:paraId="262DA02F"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5E042"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92501"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104</w:t>
                  </w:r>
                </w:p>
              </w:tc>
            </w:tr>
          </w:tbl>
          <w:p w14:paraId="3F66F8A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Vieglajām motorizkaptīm un dzīvžogu šķērēm:</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7701C2FD"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CEBE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Motors/dzinējs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25488"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4073D9F8"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25F18"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Elektromotors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6E6E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96</w:t>
                  </w:r>
                </w:p>
              </w:tc>
            </w:tr>
            <w:tr w:rsidR="000D67AB" w:rsidRPr="004A1D98" w14:paraId="502A6D1F"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DDA95"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757A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103</w:t>
                  </w:r>
                </w:p>
              </w:tc>
            </w:tr>
          </w:tbl>
          <w:p w14:paraId="06A914C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Lapu savācējiem</w:t>
            </w:r>
            <w:r w:rsidRPr="004A1D98">
              <w:rPr>
                <w:rFonts w:ascii="Times New Roman" w:eastAsia="Times New Roman" w:hAnsi="Times New Roman" w:cs="Times New Roman"/>
                <w:color w:val="000000"/>
                <w:sz w:val="28"/>
                <w:szCs w:val="28"/>
                <w:lang w:val="lv-LV" w:eastAsia="lv-LV"/>
              </w:rPr>
              <w:t>:</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75AE6DB0"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FF4CF"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70AF781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Motors/dzinējs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F3B3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649334A9"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2DD31"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Elektromotors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C7C2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99</w:t>
                  </w:r>
                </w:p>
              </w:tc>
            </w:tr>
            <w:tr w:rsidR="000D67AB" w:rsidRPr="004A1D98" w14:paraId="4FBD3DF8"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8317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04D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104</w:t>
                  </w:r>
                </w:p>
              </w:tc>
            </w:tr>
          </w:tbl>
          <w:p w14:paraId="29FF28F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Lapu pūtējiem</w:t>
            </w:r>
            <w:r w:rsidRPr="004A1D98">
              <w:rPr>
                <w:rFonts w:ascii="Times New Roman" w:eastAsia="Times New Roman" w:hAnsi="Times New Roman" w:cs="Times New Roman"/>
                <w:color w:val="000000"/>
                <w:sz w:val="28"/>
                <w:szCs w:val="28"/>
                <w:lang w:val="lv-LV" w:eastAsia="lv-LV"/>
              </w:rPr>
              <w:t>:</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32CF9043"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3455A"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10185B5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Motors/dzinējs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4398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3EFDD116"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E383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Elektromotors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FD36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99</w:t>
                  </w:r>
                </w:p>
              </w:tc>
            </w:tr>
            <w:tr w:rsidR="000D67AB" w:rsidRPr="004A1D98" w14:paraId="2580926E"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B1B8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Iekšdedzes dzinējs</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BB80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105</w:t>
                  </w:r>
                </w:p>
              </w:tc>
            </w:tr>
          </w:tbl>
          <w:p w14:paraId="507E594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Izkapts pļāvējiem</w:t>
            </w:r>
            <w:r w:rsidRPr="004A1D98">
              <w:rPr>
                <w:rFonts w:ascii="Times New Roman" w:eastAsia="Times New Roman" w:hAnsi="Times New Roman" w:cs="Times New Roman"/>
                <w:color w:val="000000"/>
                <w:sz w:val="28"/>
                <w:szCs w:val="28"/>
                <w:lang w:val="lv-LV" w:eastAsia="lv-LV"/>
              </w:rPr>
              <w:t>:</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0782CEF6"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3F86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56CD2158"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Tīrā nominālā jauda P (kW)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500F7"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2D0A87EA"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A74EE"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 ≤ 1,5kW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A5D5"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107</w:t>
                  </w:r>
                </w:p>
              </w:tc>
            </w:tr>
            <w:tr w:rsidR="000D67AB" w:rsidRPr="004A1D98" w14:paraId="6FACED62" w14:textId="77777777" w:rsidTr="000A7815">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CE3F1"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 &gt; 1,5kW</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1566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110</w:t>
                  </w:r>
                </w:p>
              </w:tc>
            </w:tr>
          </w:tbl>
          <w:p w14:paraId="581BB08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u w:val="single"/>
                <w:lang w:val="lv-LV" w:eastAsia="lv-LV"/>
              </w:rPr>
              <w:t>Frēzēm-kapļiem un rotējošām zemes frēzēm</w:t>
            </w:r>
            <w:r w:rsidRPr="004A1D98">
              <w:rPr>
                <w:rFonts w:ascii="Times New Roman" w:eastAsia="Times New Roman" w:hAnsi="Times New Roman" w:cs="Times New Roman"/>
                <w:color w:val="000000"/>
                <w:sz w:val="28"/>
                <w:szCs w:val="28"/>
                <w:lang w:val="lv-LV" w:eastAsia="lv-LV"/>
              </w:rPr>
              <w:t xml:space="preserve">: </w:t>
            </w:r>
          </w:p>
          <w:tbl>
            <w:tblPr>
              <w:tblW w:w="4005" w:type="dxa"/>
              <w:tblCellMar>
                <w:left w:w="10" w:type="dxa"/>
                <w:right w:w="10" w:type="dxa"/>
              </w:tblCellMar>
              <w:tblLook w:val="04A0" w:firstRow="1" w:lastRow="0" w:firstColumn="1" w:lastColumn="0" w:noHBand="0" w:noVBand="1"/>
            </w:tblPr>
            <w:tblGrid>
              <w:gridCol w:w="2002"/>
              <w:gridCol w:w="2003"/>
            </w:tblGrid>
            <w:tr w:rsidR="000D67AB" w:rsidRPr="004A1D98" w14:paraId="2D49DD87" w14:textId="77777777" w:rsidTr="000A7815">
              <w:tc>
                <w:tcPr>
                  <w:tcW w:w="2002" w:type="dxa"/>
                  <w:tcBorders>
                    <w:right w:val="single" w:sz="4" w:space="0" w:color="000000"/>
                  </w:tcBorders>
                  <w:shd w:val="clear" w:color="auto" w:fill="auto"/>
                  <w:tcMar>
                    <w:top w:w="0" w:type="dxa"/>
                    <w:left w:w="108" w:type="dxa"/>
                    <w:bottom w:w="0" w:type="dxa"/>
                    <w:right w:w="108" w:type="dxa"/>
                  </w:tcMar>
                </w:tcPr>
                <w:p w14:paraId="3950027C"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4D7C27E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FFD2"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Maksimāli pieļaujamais jaudas skaņas līmenis LWA (dB/1pW)</w:t>
                  </w:r>
                </w:p>
              </w:tc>
            </w:tr>
            <w:tr w:rsidR="000D67AB" w:rsidRPr="004A1D98" w14:paraId="076D1D61" w14:textId="77777777" w:rsidTr="000A7815">
              <w:tc>
                <w:tcPr>
                  <w:tcW w:w="2002" w:type="dxa"/>
                  <w:tcBorders>
                    <w:right w:val="single" w:sz="4" w:space="0" w:color="000000"/>
                  </w:tcBorders>
                  <w:shd w:val="clear" w:color="auto" w:fill="auto"/>
                  <w:tcMar>
                    <w:top w:w="0" w:type="dxa"/>
                    <w:left w:w="108" w:type="dxa"/>
                    <w:bottom w:w="0" w:type="dxa"/>
                    <w:right w:w="108" w:type="dxa"/>
                  </w:tcMar>
                </w:tcPr>
                <w:p w14:paraId="05C44D67"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153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93</w:t>
                  </w:r>
                </w:p>
              </w:tc>
            </w:tr>
          </w:tbl>
          <w:p w14:paraId="000CB469"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0271CD08"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3. DZINĒJA SMĒRVIELAS UN DEGVIELA </w:t>
            </w:r>
          </w:p>
          <w:p w14:paraId="62D357D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3.1. Iekārtās ir jābūt iespējām izmantot bioloģiski noārdāmas dzinēja smēreļļas (divtaktu motoriem) vai reģenerētās dzinēja smēreļļas (četrtaktu motoriem). </w:t>
            </w:r>
          </w:p>
          <w:p w14:paraId="60DCBEF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3.2. Degvielas patēriņš četrtaktu dzinējā, kas darbojas ar 50 procenti noslogojumu, nedrīkst būt lielāks kā 500-g/kWh degvielas, mērot saskaņā piemērojamiem standartiem.</w:t>
            </w:r>
          </w:p>
          <w:p w14:paraId="0F97E447"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4. IEKĀRTU MATERIĀLI UN SASTĀVDAĻAS </w:t>
            </w:r>
          </w:p>
          <w:p w14:paraId="511D2EA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4.1. Iekārtu dizainam ir jābūt tādam, lai tajā varētu iepildīt degvielu un to iztīrīt, neradot degvielas noplūdi. Parastas iekārtas tīrīšanas laikā no tās nedrīkst sūkties eļļa un dzinējam ir jābūt tādam, lai eļļu tajā varētu nomainīt, neradot noplūdi. </w:t>
            </w:r>
          </w:p>
          <w:p w14:paraId="679321E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4.2. Plastmasas detaļām, kas sver vairāk par 50 g, ir jābūt marķētām atbilstoši piemērojamiem standartiem. Šī prasība neattiecas uz elektrības kabeļiem. </w:t>
            </w:r>
          </w:p>
          <w:p w14:paraId="1289142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 Plastmasas materiāli nedrīkst saturēt kadmiju, svinu, dzīvsudrabu vai to savienojumus. </w:t>
            </w:r>
          </w:p>
          <w:p w14:paraId="2FD6151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4.4. Virsmas apstrādes līdzekļi nedrīkst saturēt krāsas vai piedevas, kuru pamatsastāvā ir kadmijs, svins, dzīvsudrabs vai to savienojumi.</w:t>
            </w:r>
          </w:p>
        </w:tc>
      </w:tr>
      <w:tr w:rsidR="000D67AB" w:rsidRPr="004A1D98" w14:paraId="77206E99"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372A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318E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zemāk minētajiem kritērijiem. </w:t>
            </w:r>
          </w:p>
          <w:p w14:paraId="62F06A9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rPr>
              <w:t>1. TROKŠŅA EMISIJA</w:t>
            </w:r>
          </w:p>
          <w:p w14:paraId="3C3697B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Iekārtas, kuru trokšņa emisija ir zemāka par specifikācijā noteikto maksimālo līmeni. </w:t>
            </w:r>
          </w:p>
          <w:p w14:paraId="15675EC3"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IZPLŪDES GĀZU EMISIJA</w:t>
            </w:r>
          </w:p>
          <w:p w14:paraId="39AB2E6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Iekārtas, kuru izplūdes gāzu emisijas apjoms ir mazāks nekā noteikts </w:t>
            </w:r>
            <w:r w:rsidRPr="004A1D98">
              <w:rPr>
                <w:rFonts w:ascii="Times New Roman" w:eastAsia="Times New Roman" w:hAnsi="Times New Roman" w:cs="Times New Roman"/>
                <w:bCs/>
                <w:color w:val="000000"/>
                <w:sz w:val="28"/>
                <w:szCs w:val="28"/>
                <w:lang w:val="lv-LV" w:eastAsia="ja-JP"/>
              </w:rPr>
              <w:t xml:space="preserve">Ministru kabineta </w:t>
            </w:r>
            <w:r w:rsidRPr="004A1D98">
              <w:rPr>
                <w:rFonts w:ascii="Times New Roman" w:eastAsia="Times New Roman" w:hAnsi="Times New Roman" w:cs="Times New Roman"/>
                <w:color w:val="000000"/>
                <w:sz w:val="28"/>
                <w:szCs w:val="28"/>
                <w:lang w:val="lv-LV" w:eastAsia="ja-JP"/>
              </w:rPr>
              <w:t xml:space="preserve">2005.gada 27.decembra </w:t>
            </w:r>
            <w:r w:rsidRPr="004A1D98">
              <w:rPr>
                <w:rFonts w:ascii="Times New Roman" w:eastAsia="Times New Roman" w:hAnsi="Times New Roman" w:cs="Times New Roman"/>
                <w:bCs/>
                <w:color w:val="000000"/>
                <w:sz w:val="28"/>
                <w:szCs w:val="28"/>
                <w:lang w:val="lv-LV" w:eastAsia="ja-JP"/>
              </w:rPr>
              <w:t>noteikumos Nr.1047</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Noteikumi par autoceļiem neparedzētās mobilās tehnikas iekšdedzes motoru radīto piesārņojošo vielu emisiju gaisā"</w:t>
            </w:r>
          </w:p>
        </w:tc>
      </w:tr>
    </w:tbl>
    <w:p w14:paraId="2FE26B4A" w14:textId="77777777" w:rsidR="006A16FA" w:rsidRPr="004A1D98" w:rsidRDefault="006A16FA" w:rsidP="00426910">
      <w:pPr>
        <w:spacing w:before="120" w:after="120" w:line="240" w:lineRule="auto"/>
        <w:jc w:val="center"/>
        <w:rPr>
          <w:rFonts w:ascii="Times New Roman" w:eastAsia="Times New Roman" w:hAnsi="Times New Roman" w:cs="Times New Roman"/>
          <w:b/>
          <w:color w:val="000000"/>
          <w:sz w:val="28"/>
          <w:szCs w:val="28"/>
          <w:lang w:val="lv-LV" w:eastAsia="lv-LV"/>
        </w:rPr>
      </w:pPr>
    </w:p>
    <w:p w14:paraId="323FD879" w14:textId="5F262BF2" w:rsidR="000D67AB" w:rsidRPr="004A1D98" w:rsidRDefault="00AB4C4F" w:rsidP="00426910">
      <w:pPr>
        <w:spacing w:before="120" w:after="120" w:line="240" w:lineRule="auto"/>
        <w:jc w:val="center"/>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b/>
          <w:color w:val="000000"/>
          <w:sz w:val="28"/>
          <w:szCs w:val="28"/>
          <w:lang w:val="lv-LV" w:eastAsia="lv-LV"/>
        </w:rPr>
        <w:t>3</w:t>
      </w:r>
      <w:r w:rsidR="000D67AB" w:rsidRPr="004A1D98">
        <w:rPr>
          <w:rFonts w:ascii="Times New Roman" w:eastAsia="Times New Roman" w:hAnsi="Times New Roman" w:cs="Times New Roman"/>
          <w:b/>
          <w:color w:val="000000"/>
          <w:sz w:val="28"/>
          <w:szCs w:val="28"/>
          <w:lang w:val="lv-LV" w:eastAsia="lv-LV"/>
        </w:rPr>
        <w:t xml:space="preserve">.1.5. ZPI prasības iekārtu smēreļļām </w:t>
      </w:r>
      <w:r w:rsidR="000D67AB" w:rsidRPr="004A1D98">
        <w:rPr>
          <w:rFonts w:ascii="Times New Roman" w:eastAsia="Times New Roman" w:hAnsi="Times New Roman" w:cs="Times New Roman"/>
          <w:i/>
          <w:color w:val="000000"/>
          <w:sz w:val="28"/>
          <w:szCs w:val="28"/>
          <w:lang w:val="lv-LV" w:eastAsia="lv-LV"/>
        </w:rPr>
        <w:t>(izņemot smērvielas četrtaktu dzinējiem)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740967E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6605B38"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9985533"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ZPI prasības </w:t>
            </w:r>
          </w:p>
        </w:tc>
      </w:tr>
      <w:tr w:rsidR="000D67AB" w:rsidRPr="004A1D98" w14:paraId="67533F8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41C1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5FB36"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Smērvielu, kas bioloģiski noārdās, iepirkšana </w:t>
            </w:r>
          </w:p>
        </w:tc>
      </w:tr>
      <w:tr w:rsidR="000D67AB" w:rsidRPr="004A1D98" w14:paraId="7EB7BD89"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9E4A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5D21B"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ATJAUNOJAMĀS IZEJVIELAS</w:t>
            </w:r>
          </w:p>
          <w:p w14:paraId="3DDA1DF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Formulētajam produktam ir jāsatur ogleklis, kas iegūts no atjaunojamiem izejmateriāliem (iegūts no augu eļļām vai dzīvnieku taukiem) šādā daudzumā: </w:t>
            </w:r>
          </w:p>
          <w:p w14:paraId="73BC637F" w14:textId="77777777" w:rsidR="000D67AB" w:rsidRPr="004A1D98" w:rsidRDefault="000D67AB" w:rsidP="00AB1BBF">
            <w:pPr>
              <w:numPr>
                <w:ilvl w:val="1"/>
                <w:numId w:val="44"/>
              </w:numPr>
              <w:tabs>
                <w:tab w:val="left" w:pos="1168"/>
              </w:tabs>
              <w:suppressAutoHyphens/>
              <w:autoSpaceDN w:val="0"/>
              <w:spacing w:before="120" w:after="120" w:line="240" w:lineRule="auto"/>
              <w:ind w:left="0" w:hanging="35"/>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50 procenti (m/m) hidrauliskajām eļļām; </w:t>
            </w:r>
          </w:p>
          <w:p w14:paraId="1D41E604" w14:textId="77777777" w:rsidR="000D67AB" w:rsidRPr="004A1D98" w:rsidRDefault="000D67AB" w:rsidP="00AB1BBF">
            <w:pPr>
              <w:numPr>
                <w:ilvl w:val="1"/>
                <w:numId w:val="44"/>
              </w:numPr>
              <w:tabs>
                <w:tab w:val="left" w:pos="1168"/>
              </w:tabs>
              <w:suppressAutoHyphens/>
              <w:autoSpaceDN w:val="0"/>
              <w:spacing w:before="120" w:after="120" w:line="240" w:lineRule="auto"/>
              <w:ind w:left="0" w:hanging="35"/>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 procenti (m/m) taukiem; </w:t>
            </w:r>
          </w:p>
          <w:p w14:paraId="0421EA11" w14:textId="77777777" w:rsidR="000D67AB" w:rsidRPr="004A1D98" w:rsidRDefault="000D67AB" w:rsidP="00AB1BBF">
            <w:pPr>
              <w:numPr>
                <w:ilvl w:val="1"/>
                <w:numId w:val="44"/>
              </w:numPr>
              <w:tabs>
                <w:tab w:val="left" w:pos="1168"/>
              </w:tabs>
              <w:suppressAutoHyphens/>
              <w:autoSpaceDN w:val="0"/>
              <w:spacing w:before="120" w:after="120" w:line="240" w:lineRule="auto"/>
              <w:ind w:left="0" w:hanging="35"/>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70 procenti (m/m) ķēdes zāģu eļļām un citām caurplūdes smērvielām; </w:t>
            </w:r>
          </w:p>
          <w:p w14:paraId="241D5403" w14:textId="77777777" w:rsidR="000D67AB" w:rsidRPr="004A1D98" w:rsidRDefault="000D67AB" w:rsidP="00AB1BBF">
            <w:pPr>
              <w:numPr>
                <w:ilvl w:val="1"/>
                <w:numId w:val="44"/>
              </w:numPr>
              <w:tabs>
                <w:tab w:val="left" w:pos="1168"/>
              </w:tabs>
              <w:suppressAutoHyphens/>
              <w:autoSpaceDN w:val="0"/>
              <w:spacing w:before="120" w:after="120" w:line="240" w:lineRule="auto"/>
              <w:ind w:left="0" w:hanging="35"/>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50 procenti (m/m) divtaktu eļļām. </w:t>
            </w:r>
          </w:p>
          <w:p w14:paraId="142CB5A8"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APDRAUDĒJUMI VIDEI UN CILVĒKA VESELĪBAI</w:t>
            </w:r>
          </w:p>
          <w:p w14:paraId="1241BB3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Produktam nedrīkst būt piešķirtas R frāzes, kas norāda par apdraudējumu videi un cilvēka veselībai saskaņā ar </w:t>
            </w:r>
            <w:r w:rsidRPr="004A1D98">
              <w:rPr>
                <w:rFonts w:ascii="Times New Roman" w:eastAsia="Times New Roman" w:hAnsi="Times New Roman" w:cs="Times New Roman"/>
                <w:bCs/>
                <w:color w:val="000000"/>
                <w:sz w:val="28"/>
                <w:szCs w:val="28"/>
                <w:lang w:val="lv-LV" w:eastAsia="ja-JP"/>
              </w:rPr>
              <w:t xml:space="preserve">Ministru kabineta </w:t>
            </w:r>
            <w:r w:rsidRPr="004A1D98">
              <w:rPr>
                <w:rFonts w:ascii="Times New Roman" w:eastAsia="Times New Roman" w:hAnsi="Times New Roman" w:cs="Times New Roman"/>
                <w:color w:val="000000"/>
                <w:sz w:val="28"/>
                <w:szCs w:val="28"/>
                <w:lang w:val="lv-LV" w:eastAsia="ja-JP"/>
              </w:rPr>
              <w:t xml:space="preserve">2002. gada 12. marta </w:t>
            </w:r>
            <w:r w:rsidRPr="004A1D98">
              <w:rPr>
                <w:rFonts w:ascii="Times New Roman" w:eastAsia="Times New Roman" w:hAnsi="Times New Roman" w:cs="Times New Roman"/>
                <w:bCs/>
                <w:color w:val="000000"/>
                <w:sz w:val="28"/>
                <w:szCs w:val="28"/>
                <w:lang w:val="lv-LV" w:eastAsia="ja-JP"/>
              </w:rPr>
              <w:t>noteikumiem Nr.107</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Ķīmisko vielu un ķīmisko produktu klasificēšanas, marķēšanas un iepakošanas kārtība"</w:t>
            </w:r>
            <w:r w:rsidRPr="004A1D98">
              <w:rPr>
                <w:rFonts w:ascii="Times New Roman" w:eastAsia="Times New Roman" w:hAnsi="Times New Roman" w:cs="Times New Roman"/>
                <w:color w:val="000000"/>
                <w:sz w:val="28"/>
                <w:szCs w:val="28"/>
                <w:lang w:val="lv-LV" w:eastAsia="ja-JP"/>
              </w:rPr>
              <w:t xml:space="preserve">. Uz šo produktu grupu attiecas šādas R vai H frāzes: R20 (H332), R21 (H312), R22 (H302), R23 (H330 un H331), R24 (H311), R25 (H301), R26 (H330), R27 (H310), R28 (H300), R33 (H373), R34 (H314), R35 (H314), R36 (H319), R37 (H335), R38 (H315), R39 (H370), R40 (H351), R41 (H318), R42 (H334), R43 (H317), R45 (H350), R46 (H340), R48 (H372 &amp; H373), R49 (H350i), R50 (H400), R51 (H411), R52 (H412), R53 (H413), R59 (EUH059), R60 (H360F), R61 (H360D un H360FD), R62 (H361f, H360FD un H360Df), R63 (H361d &amp; H360Fd), R64 (H362), R65 (H304), R66 (EUH066), R67 (H336), R68 (H371) un to apvienojums. </w:t>
            </w:r>
          </w:p>
        </w:tc>
      </w:tr>
    </w:tbl>
    <w:p w14:paraId="190868B1" w14:textId="5670D51B" w:rsidR="000D67AB" w:rsidRPr="004A1D98" w:rsidRDefault="00F727E8" w:rsidP="001C33EC">
      <w:pPr>
        <w:spacing w:before="120" w:after="120" w:line="240" w:lineRule="auto"/>
        <w:jc w:val="center"/>
        <w:rPr>
          <w:rFonts w:ascii="Times New Roman" w:eastAsia="Times New Roman" w:hAnsi="Times New Roman" w:cs="Times New Roman"/>
          <w:b/>
          <w:color w:val="000000"/>
          <w:sz w:val="28"/>
          <w:szCs w:val="28"/>
          <w:lang w:val="lv-LV" w:eastAsia="lv-LV"/>
        </w:rPr>
      </w:pPr>
      <w:r>
        <w:rPr>
          <w:rFonts w:ascii="Times New Roman" w:eastAsia="Times New Roman" w:hAnsi="Times New Roman" w:cs="Times New Roman"/>
          <w:b/>
          <w:color w:val="000000"/>
          <w:sz w:val="28"/>
          <w:szCs w:val="28"/>
          <w:lang w:val="lv-LV" w:eastAsia="lv-LV"/>
        </w:rPr>
        <w:t>3</w:t>
      </w:r>
      <w:r w:rsidR="000D67AB" w:rsidRPr="004A1D98">
        <w:rPr>
          <w:rFonts w:ascii="Times New Roman" w:eastAsia="Times New Roman" w:hAnsi="Times New Roman" w:cs="Times New Roman"/>
          <w:b/>
          <w:color w:val="000000"/>
          <w:sz w:val="28"/>
          <w:szCs w:val="28"/>
          <w:lang w:val="lv-LV" w:eastAsia="lv-LV"/>
        </w:rPr>
        <w:t>.2. Dārzkopības pakalpojumi</w:t>
      </w:r>
    </w:p>
    <w:p w14:paraId="72A5076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 xml:space="preserve">Gadījumos, kad par dārzkopības pakalpojumu izpildi tiek slēgts līgums, tiek ieteiktas prasības un kritēriji gan attiecībā uz izmantojamajiem produktiem, gan praksi attiecībā uz pakalpojumu sniegšanu. Vienlaikus ar tehniskajām specifikācijām ir sniegti ieteikumi par līguma noteikumiem, kurus nevar novērtēt iepirkuma procedūras laikā. Tādēļ līguma vadības laikā būs nepieciešami īpaši uzraudzības pasākumi. </w:t>
      </w:r>
    </w:p>
    <w:p w14:paraId="40199744"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p>
    <w:p w14:paraId="30CCE2FF" w14:textId="41AC3FC1" w:rsidR="000D67AB" w:rsidRPr="004A1D98" w:rsidRDefault="00F727E8"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Pr>
          <w:rFonts w:ascii="Times New Roman" w:eastAsia="Times New Roman" w:hAnsi="Times New Roman" w:cs="Times New Roman"/>
          <w:b/>
          <w:color w:val="000000"/>
          <w:sz w:val="28"/>
          <w:szCs w:val="28"/>
          <w:lang w:val="lv-LV" w:eastAsia="ja-JP"/>
        </w:rPr>
        <w:t>3</w:t>
      </w:r>
      <w:r w:rsidR="000D67AB" w:rsidRPr="004A1D98">
        <w:rPr>
          <w:rFonts w:ascii="Times New Roman" w:eastAsia="Times New Roman" w:hAnsi="Times New Roman" w:cs="Times New Roman"/>
          <w:b/>
          <w:color w:val="000000"/>
          <w:sz w:val="28"/>
          <w:szCs w:val="28"/>
          <w:lang w:val="lv-LV" w:eastAsia="ja-JP"/>
        </w:rPr>
        <w:t>.2.1. ZPI prasības un kritēriji dārzkopības pakalpojumiem</w:t>
      </w:r>
    </w:p>
    <w:tbl>
      <w:tblPr>
        <w:tblW w:w="8472" w:type="dxa"/>
        <w:tblLayout w:type="fixed"/>
        <w:tblCellMar>
          <w:left w:w="10" w:type="dxa"/>
          <w:right w:w="10" w:type="dxa"/>
        </w:tblCellMar>
        <w:tblLook w:val="04A0" w:firstRow="1" w:lastRow="0" w:firstColumn="1" w:lastColumn="0" w:noHBand="0" w:noVBand="1"/>
      </w:tblPr>
      <w:tblGrid>
        <w:gridCol w:w="3510"/>
        <w:gridCol w:w="4962"/>
      </w:tblGrid>
      <w:tr w:rsidR="000D67AB" w:rsidRPr="004A1D98" w14:paraId="22F0A86C"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F2D1B91"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08755BA"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16CBDD9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A07A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3A7D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Dārzkopības pakalpojumi, kuros tiek izmantoti produkti un prakses ar samazinātu ietekmi uz vidi </w:t>
            </w:r>
          </w:p>
        </w:tc>
      </w:tr>
      <w:tr w:rsidR="000D67AB" w:rsidRPr="004A1D98" w14:paraId="57B29E83"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FEF6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E3B7"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MĒSLOŠANĀ IZMANTOJAMO AUGSNES IELABOŠANAS LĪDZEKĻU GALVENĀS SASTĀVDAĻAS </w:t>
            </w:r>
          </w:p>
          <w:p w14:paraId="5F7CC96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1.1. Augsnes ielabošanas līdzekļi, ko paredzēts izmantot pakalpojumu veikšanas laikā, nedrīkst saturēt kūdru vai notekūdeņu dūņas. </w:t>
            </w:r>
          </w:p>
          <w:p w14:paraId="51468FA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1.2. Augsnes ielabošanas līdzekļu sastāvā esošajām organiskajām vielām ir jābūt iegūtām no atkritumu pārstrādes un/vai atkārtotas izmantošanas (kā noteikts </w:t>
            </w:r>
            <w:r w:rsidRPr="004A1D98">
              <w:rPr>
                <w:rFonts w:ascii="Times New Roman" w:eastAsia="Times New Roman" w:hAnsi="Times New Roman" w:cs="Times New Roman"/>
                <w:bCs/>
                <w:color w:val="000000"/>
                <w:sz w:val="28"/>
                <w:szCs w:val="28"/>
                <w:lang w:val="lv-LV" w:eastAsia="lv-LV"/>
              </w:rPr>
              <w:t xml:space="preserve">Ministru kabineta </w:t>
            </w:r>
            <w:r w:rsidRPr="004A1D98">
              <w:rPr>
                <w:rFonts w:ascii="Times New Roman" w:eastAsia="Times New Roman" w:hAnsi="Times New Roman" w:cs="Times New Roman"/>
                <w:color w:val="000000"/>
                <w:sz w:val="28"/>
                <w:szCs w:val="28"/>
                <w:lang w:val="lv-LV" w:eastAsia="lv-LV"/>
              </w:rPr>
              <w:t xml:space="preserve">2011.gada 26.aprīļa </w:t>
            </w:r>
            <w:r w:rsidRPr="004A1D98">
              <w:rPr>
                <w:rFonts w:ascii="Times New Roman" w:eastAsia="Times New Roman" w:hAnsi="Times New Roman" w:cs="Times New Roman"/>
                <w:bCs/>
                <w:color w:val="000000"/>
                <w:sz w:val="28"/>
                <w:szCs w:val="28"/>
                <w:lang w:val="lv-LV" w:eastAsia="lv-LV"/>
              </w:rPr>
              <w:t>noteikumos Nr.319</w:t>
            </w:r>
            <w:r w:rsidRPr="004A1D98">
              <w:rPr>
                <w:rFonts w:ascii="Times New Roman" w:eastAsia="Times New Roman" w:hAnsi="Times New Roman" w:cs="Times New Roman"/>
                <w:color w:val="000000"/>
                <w:sz w:val="28"/>
                <w:szCs w:val="28"/>
                <w:lang w:val="lv-LV" w:eastAsia="lv-LV"/>
              </w:rPr>
              <w:t xml:space="preserve"> "</w:t>
            </w:r>
            <w:r w:rsidRPr="004A1D98">
              <w:rPr>
                <w:rFonts w:ascii="Times New Roman" w:eastAsia="Times New Roman" w:hAnsi="Times New Roman" w:cs="Times New Roman"/>
                <w:bCs/>
                <w:color w:val="000000"/>
                <w:sz w:val="28"/>
                <w:szCs w:val="28"/>
                <w:lang w:val="lv-LV" w:eastAsia="lv-LV"/>
              </w:rPr>
              <w:t>Noteikumi par atkritumu reģenerācijas un apglabāšanas veidiem"</w:t>
            </w:r>
            <w:r w:rsidRPr="004A1D98">
              <w:rPr>
                <w:rFonts w:ascii="Times New Roman" w:eastAsia="Times New Roman" w:hAnsi="Times New Roman" w:cs="Times New Roman"/>
                <w:color w:val="000000"/>
                <w:sz w:val="28"/>
                <w:szCs w:val="28"/>
                <w:lang w:val="lv-LV" w:eastAsia="lv-LV"/>
              </w:rPr>
              <w:t xml:space="preserve"> un to I pielikumā). </w:t>
            </w:r>
          </w:p>
          <w:p w14:paraId="1B0154A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1.3. Dūņas (izņemot kanalizācijas dūņas) ir atļautas tikai tad, ja tās ir atzītas par kādu no šādiem atkritumiem atbilstoši Ministru kabineta 2011. gada 19. aprīļa n</w:t>
            </w:r>
            <w:r w:rsidRPr="004A1D98">
              <w:rPr>
                <w:rFonts w:ascii="Times New Roman" w:eastAsia="Times New Roman" w:hAnsi="Times New Roman" w:cs="Times New Roman"/>
                <w:bCs/>
                <w:color w:val="000000"/>
                <w:sz w:val="28"/>
                <w:szCs w:val="28"/>
                <w:shd w:val="clear" w:color="auto" w:fill="FFFFFF"/>
                <w:lang w:val="lv-LV" w:eastAsia="lv-LV"/>
              </w:rPr>
              <w:t>oteikumiem Nr. 302 "Noteikumi par atkritumu klasifikatoru un īpašībām, kuras padara atkritumus bīstamus"</w:t>
            </w:r>
            <w:r w:rsidRPr="004A1D98">
              <w:rPr>
                <w:rFonts w:ascii="Times New Roman" w:eastAsia="Times New Roman" w:hAnsi="Times New Roman" w:cs="Times New Roman"/>
                <w:color w:val="000000"/>
                <w:sz w:val="28"/>
                <w:szCs w:val="28"/>
                <w:lang w:val="lv-LV" w:eastAsia="lv-LV"/>
              </w:rPr>
              <w:t xml:space="preserve"> attiecībā uz atkritumu sarakstu, un ja tās nav sajaukušās ar kaitīgiem notekūdeņiem vai dūņām ārpus noteiktā ražošanas procesa): </w:t>
            </w:r>
          </w:p>
          <w:p w14:paraId="1D196ED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1.3.1. 020305 notekūdeņu vietējā attīrīšanā radušās dūņas, sagatavojot un pārstrādājot augļus, dārzeņus, graudaugus, pārtikas eļļas, kakao, kafiju, tēju un tabaku, konservējot, ražojot raugu un rauga ekstraktu, sagatavojot un raudzējot melasi; </w:t>
            </w:r>
          </w:p>
          <w:p w14:paraId="73BE4F0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1.3.2. 020403 dūņas no cukura ražošanas procesā radušos kaitīgo notekūdeņu vietējās attīrīšanas; </w:t>
            </w:r>
          </w:p>
          <w:p w14:paraId="66EB85D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1.3.3. 020502 dūņas no piena produktu ražošanas procesā radušos kaitīgo notekūdeņu vietējās attīrīšanas; </w:t>
            </w:r>
          </w:p>
          <w:p w14:paraId="747AFE3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1.3.4. 020603 dūņas no maizes ceptuvēs un konditorejas izstrādājumu ražošanas procesā radušos kaitīgo notekūdeņu vietējās attīrīšanas; </w:t>
            </w:r>
          </w:p>
          <w:p w14:paraId="2D76A3A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1.3.5. 020705 dūņas no alkoholisko un bezalkoholisko dzērienu (izņemot kafiju, tēju un kakao) ražošanas procesā radušos kaitīgo notekūdeņu vietējās attīrīšanas. </w:t>
            </w:r>
          </w:p>
          <w:p w14:paraId="3B6FF47C"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BĪSTAMĀS VIELAS MĒSLOŠANĀ IZMANTOJAMAJOS AUGSNES IELABOŠANAS LĪDZEKĻOS</w:t>
            </w:r>
          </w:p>
          <w:p w14:paraId="51031E3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Maksimālajai smago metālu koncentrācijai atkritumos pirms pārstrādes (mg/kg saussvara) ir jāatbilst zemāk norādītajām prasībām attiecībā uz bīstamajām vielām. Šajā tabulā iekļauto elementu saturam galaproduktā ir jābūt mazākam par tajā norādīto saussvaru. </w:t>
            </w:r>
          </w:p>
          <w:tbl>
            <w:tblPr>
              <w:tblW w:w="4168" w:type="dxa"/>
              <w:tblInd w:w="17" w:type="dxa"/>
              <w:tblLayout w:type="fixed"/>
              <w:tblCellMar>
                <w:left w:w="10" w:type="dxa"/>
                <w:right w:w="10" w:type="dxa"/>
              </w:tblCellMar>
              <w:tblLook w:val="04A0" w:firstRow="1" w:lastRow="0" w:firstColumn="1" w:lastColumn="0" w:noHBand="0" w:noVBand="1"/>
            </w:tblPr>
            <w:tblGrid>
              <w:gridCol w:w="961"/>
              <w:gridCol w:w="1005"/>
              <w:gridCol w:w="236"/>
              <w:gridCol w:w="961"/>
              <w:gridCol w:w="1005"/>
            </w:tblGrid>
            <w:tr w:rsidR="000D67AB" w:rsidRPr="004A1D98" w14:paraId="61AA678D"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A6C9B"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Elements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56D98"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Saussvars (mg/kg)</w:t>
                  </w:r>
                </w:p>
              </w:tc>
              <w:tc>
                <w:tcPr>
                  <w:tcW w:w="2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40A6"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F17BD"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Elements</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E9C2E"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Saussvars (mg/kg)</w:t>
                  </w:r>
                </w:p>
              </w:tc>
            </w:tr>
            <w:tr w:rsidR="000D67AB" w:rsidRPr="004A1D98" w14:paraId="280CF9D7"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37A11"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Zn</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EC2F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300</w:t>
                  </w:r>
                </w:p>
              </w:tc>
              <w:tc>
                <w:tcPr>
                  <w:tcW w:w="2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9F03E"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2600D"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Cr</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BB148"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100</w:t>
                  </w:r>
                </w:p>
              </w:tc>
            </w:tr>
            <w:tr w:rsidR="000D67AB" w:rsidRPr="004A1D98" w14:paraId="197E2728"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9690D"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Cu</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FD72F"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100</w:t>
                  </w:r>
                </w:p>
              </w:tc>
              <w:tc>
                <w:tcPr>
                  <w:tcW w:w="2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F2082"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ED93"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Mo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CEBC7"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w:t>
                  </w:r>
                </w:p>
              </w:tc>
            </w:tr>
            <w:tr w:rsidR="000D67AB" w:rsidRPr="004A1D98" w14:paraId="1FB54C44"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0F8A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Ni</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017AD"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50</w:t>
                  </w:r>
                </w:p>
              </w:tc>
              <w:tc>
                <w:tcPr>
                  <w:tcW w:w="2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92F1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0B79B"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Se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0BA3A"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1,5</w:t>
                  </w:r>
                </w:p>
              </w:tc>
            </w:tr>
            <w:tr w:rsidR="000D67AB" w:rsidRPr="004A1D98" w14:paraId="40ADCF86"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B96A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Cd</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F8F96"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p>
              </w:tc>
              <w:tc>
                <w:tcPr>
                  <w:tcW w:w="2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43E31"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2A95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As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6D8F3"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w:t>
                  </w:r>
                </w:p>
              </w:tc>
            </w:tr>
            <w:tr w:rsidR="000D67AB" w:rsidRPr="004A1D98" w14:paraId="4F372F41"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F1B13"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Pb</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E881C"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100</w:t>
                  </w:r>
                </w:p>
              </w:tc>
              <w:tc>
                <w:tcPr>
                  <w:tcW w:w="2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87CB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4D9C2"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F (*)</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2D58D"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200</w:t>
                  </w:r>
                </w:p>
              </w:tc>
            </w:tr>
            <w:tr w:rsidR="000D67AB" w:rsidRPr="004A1D98" w14:paraId="74DF2971" w14:textId="77777777" w:rsidTr="000A7815">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CB0D3"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Hg</w:t>
                  </w: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4AD2"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w:t>
                  </w:r>
                </w:p>
              </w:tc>
              <w:tc>
                <w:tcPr>
                  <w:tcW w:w="2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B2EA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9D11A"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7A5C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tc>
            </w:tr>
          </w:tbl>
          <w:p w14:paraId="3045BAB4"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Dati par šo elementu klātbūtni nepieciešami tikai attiecībā uz produktiem, kas satur vielas no</w:t>
            </w:r>
          </w:p>
          <w:p w14:paraId="7E185F88"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rūpnieciskiem procesiem.</w:t>
            </w:r>
          </w:p>
          <w:p w14:paraId="0815E3F0"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p>
          <w:p w14:paraId="4AD627A8"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3. SMĒRVIELAS</w:t>
            </w:r>
          </w:p>
          <w:p w14:paraId="14BC3E1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Smēreļļām, ko paredzēts izmantot pakalpojumu sniegšanā, ir jābūt bioloģiski noārdāmām, un tās nedrīkst būt toksiskas. Tādēļ smērvielām ir jāsatur ogleklis, kas iegūts no atjaunojamiem izejmateriāliem (iegūts no augu eļļām vai dzīvnieku taukiem) šādā daudzumā: </w:t>
            </w:r>
          </w:p>
          <w:p w14:paraId="14A6949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 50 procenti (m/m) hidrauliskajām eļļām; </w:t>
            </w:r>
          </w:p>
          <w:p w14:paraId="559FC42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3.2. 45 procenti (m/m) taukiem; </w:t>
            </w:r>
          </w:p>
          <w:p w14:paraId="6D347E0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3.3.70 procenti (m/m) ķēdes zāģu eļļām un citām caurplūdes smērvielām; </w:t>
            </w:r>
          </w:p>
          <w:p w14:paraId="11D2DFE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3.4.50 procenti (m/m) divtaktu eļļām. </w:t>
            </w:r>
          </w:p>
          <w:p w14:paraId="61E47E5A"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4. LAISTĪŠANA</w:t>
            </w:r>
          </w:p>
          <w:p w14:paraId="15D02FF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Laistīšanas un ūdens izmantošanas pārvaldīšanas pasākumos: </w:t>
            </w:r>
          </w:p>
          <w:p w14:paraId="6ECC03F2" w14:textId="1A071556" w:rsidR="000D67AB" w:rsidRPr="004A1D98" w:rsidRDefault="000D67AB" w:rsidP="00AB1BBF">
            <w:pPr>
              <w:pStyle w:val="ListParagraph"/>
              <w:numPr>
                <w:ilvl w:val="1"/>
                <w:numId w:val="68"/>
              </w:numPr>
              <w:spacing w:before="120" w:after="120"/>
              <w:ind w:left="488" w:hanging="488"/>
              <w:jc w:val="both"/>
              <w:rPr>
                <w:rFonts w:ascii="Times New Roman" w:hAnsi="Times New Roman"/>
                <w:color w:val="000000"/>
                <w:sz w:val="28"/>
                <w:szCs w:val="28"/>
                <w:lang w:val="lv-LV"/>
              </w:rPr>
            </w:pPr>
            <w:r w:rsidRPr="004A1D98">
              <w:rPr>
                <w:rFonts w:ascii="Times New Roman" w:hAnsi="Times New Roman"/>
                <w:color w:val="000000"/>
                <w:sz w:val="28"/>
                <w:szCs w:val="28"/>
                <w:lang w:val="lv-LV"/>
              </w:rPr>
              <w:t xml:space="preserve">jānodrošina maksimāla nedzeramā ūdens (lietus ūdens, gruntsūdens vai otrreizējas izmantošanas ūdens) izmantošana; </w:t>
            </w:r>
          </w:p>
          <w:p w14:paraId="23C03B20" w14:textId="77777777" w:rsidR="000D67AB" w:rsidRPr="004A1D98" w:rsidRDefault="000D67AB" w:rsidP="00AB1BBF">
            <w:pPr>
              <w:pStyle w:val="ListParagraph"/>
              <w:numPr>
                <w:ilvl w:val="1"/>
                <w:numId w:val="68"/>
              </w:numPr>
              <w:spacing w:before="120" w:after="120"/>
              <w:ind w:left="488" w:hanging="488"/>
              <w:jc w:val="both"/>
              <w:rPr>
                <w:rFonts w:ascii="Times New Roman" w:hAnsi="Times New Roman"/>
                <w:color w:val="000000"/>
                <w:sz w:val="28"/>
                <w:szCs w:val="28"/>
                <w:lang w:val="lv-LV"/>
              </w:rPr>
            </w:pPr>
            <w:r w:rsidRPr="004A1D98">
              <w:rPr>
                <w:rFonts w:ascii="Times New Roman" w:hAnsi="Times New Roman"/>
                <w:color w:val="000000"/>
                <w:sz w:val="28"/>
                <w:szCs w:val="28"/>
                <w:lang w:val="lv-LV"/>
              </w:rPr>
              <w:t xml:space="preserve">jāizmanto mulčēšana, lai izvairītos no iztvaikošanas vietās, ko norādījis pasūtītājs; </w:t>
            </w:r>
          </w:p>
          <w:p w14:paraId="67306C2F" w14:textId="77777777" w:rsidR="0027460F" w:rsidRPr="004A1D98" w:rsidRDefault="000D67AB" w:rsidP="00AB1BBF">
            <w:pPr>
              <w:pStyle w:val="ListParagraph"/>
              <w:numPr>
                <w:ilvl w:val="1"/>
                <w:numId w:val="68"/>
              </w:numPr>
              <w:spacing w:before="120" w:after="120"/>
              <w:ind w:left="488" w:hanging="488"/>
              <w:jc w:val="both"/>
              <w:rPr>
                <w:rFonts w:ascii="Times New Roman" w:hAnsi="Times New Roman"/>
                <w:color w:val="000000"/>
                <w:sz w:val="28"/>
                <w:szCs w:val="28"/>
                <w:lang w:val="lv-LV"/>
              </w:rPr>
            </w:pPr>
            <w:r w:rsidRPr="004A1D98">
              <w:rPr>
                <w:rFonts w:ascii="Times New Roman" w:hAnsi="Times New Roman"/>
                <w:color w:val="000000"/>
                <w:sz w:val="28"/>
                <w:szCs w:val="28"/>
                <w:lang w:val="lv-LV"/>
              </w:rPr>
              <w:t xml:space="preserve">jāizmanto automātiskas apūdeņošanas sistēmas, kā norādījis pasūtītājs; </w:t>
            </w:r>
          </w:p>
          <w:p w14:paraId="0D109E1E" w14:textId="47B322B6" w:rsidR="000D67AB" w:rsidRPr="004A1D98" w:rsidRDefault="000D67AB" w:rsidP="00AB1BBF">
            <w:pPr>
              <w:pStyle w:val="ListParagraph"/>
              <w:numPr>
                <w:ilvl w:val="1"/>
                <w:numId w:val="68"/>
              </w:numPr>
              <w:spacing w:before="120" w:after="120"/>
              <w:ind w:left="488" w:hanging="488"/>
              <w:jc w:val="both"/>
              <w:rPr>
                <w:rFonts w:ascii="Times New Roman" w:hAnsi="Times New Roman"/>
                <w:color w:val="000000"/>
                <w:sz w:val="28"/>
                <w:szCs w:val="28"/>
                <w:lang w:val="lv-LV"/>
              </w:rPr>
            </w:pPr>
            <w:r w:rsidRPr="004A1D98">
              <w:rPr>
                <w:rFonts w:ascii="Times New Roman" w:hAnsi="Times New Roman"/>
                <w:color w:val="000000"/>
                <w:sz w:val="28"/>
                <w:szCs w:val="28"/>
                <w:lang w:val="lv-LV"/>
              </w:rPr>
              <w:t xml:space="preserve">jāiesniedz periodiski pārskati par ūdens patēriņu. </w:t>
            </w:r>
          </w:p>
          <w:p w14:paraId="518EAC9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5. AUTOMĀTISKĀS APŪDEŅOŠANAS SISTĒMAS</w:t>
            </w:r>
          </w:p>
          <w:p w14:paraId="698089A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Automātiskajām apūdeņošanas sistēmām ir jāatbilst šādām prasībām: </w:t>
            </w:r>
          </w:p>
          <w:p w14:paraId="032CBEB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5.1. tām jābūt pielāgojamām izlaistītā ūdens daudzuma ziņā pa zonām; </w:t>
            </w:r>
          </w:p>
          <w:p w14:paraId="669DCC3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5.2. tām jābūt ar regulējamiem taimeriem laistīšanas perioda programmēšanai; </w:t>
            </w:r>
          </w:p>
          <w:p w14:paraId="4EB07AB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5.3. tām jābūt ar higrometriem, kas mēra augsnes mitruma līmeni un automātiski bloķē apūdeņošanu, kad augsnes mitruma līmenis ir pietiekams (piemēram, pēc lietus); </w:t>
            </w:r>
          </w:p>
          <w:p w14:paraId="63602D9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5.4. ja pasūtītājs uzskata par nepieciešamu, tām jāizmanto ūdens no vietēji pārstrādātiem resursiem, kas apvieno lietus ūdeni, gruntsūdeni un filtrētu sadzīves notekūdeni. </w:t>
            </w:r>
          </w:p>
          <w:p w14:paraId="7BC30B9E"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6. ATKRITUMU APSAIMNIEKOŠANA</w:t>
            </w:r>
          </w:p>
          <w:p w14:paraId="04A1AAF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Dārzkopības pakalpojumu sniegšanas laikā radušos atkritumus ir jāvāc šādi šķirojot:</w:t>
            </w:r>
          </w:p>
          <w:p w14:paraId="4928248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6.1. visi organiskie atkritumi (sausās lapas, apgrieztie zari, zāle) ir jākompostē uz vietas, uzņēmuma teritorijā vai slēdzot līgumu ar atkritumu pārstrādes uzņēmumu;</w:t>
            </w:r>
          </w:p>
          <w:p w14:paraId="240E8A1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6.2. koksni saturoši organiskie atkritumi no zariem utt. ir jāsasmalcina uz vietas uzņēmuma teritorijā un jāizmanto mulčēšanā iepriekš saskaņotās vietās;</w:t>
            </w:r>
          </w:p>
          <w:p w14:paraId="5CD3700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6.3. iepakojuma atkritumi ir jāšķiro atbilstoši pastāvošajam pilsētas atkritumu sadalījumam un jāievieto attiecīgajos ielas konteineros (papīrs, plastmasa utt.). Tomēr bīstamu vielu, piemēram, augu aizsardzības līdzekļu iepakojums ir jāiznīcina drošā veidā, sertificētos savākšanas punktos vai nododot pilnvarotam atkritumu savācējam turpmākai pārstrādei;</w:t>
            </w:r>
          </w:p>
          <w:p w14:paraId="367DFC8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6.4. motoreļļas ir jāsavāc un jāpārstrādā pilnvarotam atkritumu savākšanas uzņēmumam; </w:t>
            </w:r>
          </w:p>
          <w:p w14:paraId="1A4CEF0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6.5. ja dārza tehnika ir nenovēršami sabojājusies, piegādātājam ir jānorāda šīs iekārtas nosūtīšanas galamērķis. </w:t>
            </w:r>
          </w:p>
          <w:p w14:paraId="1479C2C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1E32BFE3"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7. PERIODISKI ZIŅOJUMI</w:t>
            </w:r>
          </w:p>
          <w:p w14:paraId="1BF82EA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Reizi gadā ir jāsagatavo ziņojums, lai sniegtu informāciju par pakalpojumu sniegšanas laikā patērēto enerģiju, mēslošanas līdzekļu nosaukumu un daudzumu, izmantotajiem augu aizsardzības līdzekļiem un smēreļļām, radīto atkritumu daudzumu, klasificējot pēc to veidiem un galamērķiem, kā arī informāciju par visiem citiem ar pakalpojumu sniegšanu saistītajiem pasākumiem, kas noteikti līgumā (pasākumi ūdens patēriņa samazināšanai, iepakojuma samazināšanai u. c.). </w:t>
            </w:r>
          </w:p>
          <w:p w14:paraId="1B225F36"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8. INVAZĪVIE AUGI  UN DZĪVNIEKI</w:t>
            </w:r>
          </w:p>
          <w:p w14:paraId="10AB6A5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Par jebkuriem augiem vai dzīvniekiem, kas varētu būt invazīvi, ir nekavējoties jāziņo pasūtītājam un jāveic atbilstoši pasākumi, kas saskaņoti ar pasūtītāju. </w:t>
            </w:r>
          </w:p>
          <w:p w14:paraId="1B1B6FA3"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9. AIZSARDZĪBA PRET KAITĒKĻIEM</w:t>
            </w:r>
          </w:p>
          <w:p w14:paraId="0696868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Galveno augu slimību apkarošanā ķīmisko augu aizsardzības līdzekļu izmatošana ir jāsamazina, izmantojot alternatīvus paņēmienus (piemēram, termisku, mehānisku vai bioloģisku apstrādi). </w:t>
            </w:r>
          </w:p>
        </w:tc>
      </w:tr>
      <w:tr w:rsidR="000D67AB" w:rsidRPr="004A1D98" w14:paraId="032F854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7E26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68F3"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JAUNI DEKORATĪVIE AUGI</w:t>
            </w:r>
          </w:p>
          <w:p w14:paraId="700822E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punktus piešķirs par bioloģiski audzētu dekoratīvo augu izmantošanu.</w:t>
            </w:r>
          </w:p>
        </w:tc>
      </w:tr>
      <w:tr w:rsidR="000D67AB" w:rsidRPr="004A1D98" w14:paraId="0B475A6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7F55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BE593"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DIENESTA TRANSPORTLĪDZEKĻI</w:t>
            </w:r>
          </w:p>
          <w:p w14:paraId="7212F025"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Transportlīdzekļiem, ko paredzēts izmantot pakalpojumu sniegšanā, ir jāatbilst vismaz EURO 5 vai V atgāzu emisijas standartiem saskaņā ar </w:t>
            </w:r>
            <w:r w:rsidRPr="004A1D98">
              <w:rPr>
                <w:rFonts w:ascii="Times New Roman" w:eastAsia="Times New Roman" w:hAnsi="Times New Roman" w:cs="Times New Roman"/>
                <w:bCs/>
                <w:color w:val="000000"/>
                <w:sz w:val="28"/>
                <w:szCs w:val="28"/>
                <w:lang w:val="lv-LV" w:eastAsia="ja-JP"/>
              </w:rPr>
              <w:t xml:space="preserve">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w:t>
            </w:r>
            <w:r w:rsidRPr="004A1D98">
              <w:rPr>
                <w:rFonts w:ascii="Times New Roman" w:eastAsia="Times New Roman" w:hAnsi="Times New Roman" w:cs="Times New Roman"/>
                <w:color w:val="000000"/>
                <w:sz w:val="28"/>
                <w:szCs w:val="28"/>
                <w:lang w:val="lv-LV" w:eastAsia="ja-JP"/>
              </w:rPr>
              <w:t>Ministru kabineta 2009. gada 22. decembra noteikumu Nr.1494  "Mopēdu, mehānisko transportlīdzekļu, to piekabju un sastāvdaļu atbilstības novērtēšanas noteikumi"</w:t>
            </w:r>
            <w:r w:rsidRPr="004A1D98">
              <w:rPr>
                <w:rFonts w:ascii="Times New Roman" w:eastAsia="Times New Roman" w:hAnsi="Times New Roman" w:cs="Times New Roman"/>
                <w:bCs/>
                <w:color w:val="000000"/>
                <w:sz w:val="28"/>
                <w:szCs w:val="28"/>
                <w:lang w:val="lv-LV" w:eastAsia="ja-JP"/>
              </w:rPr>
              <w:t xml:space="preserve"> 11. pielikuma 41. iedaļā </w:t>
            </w:r>
            <w:r w:rsidRPr="004A1D98">
              <w:rPr>
                <w:rFonts w:ascii="Times New Roman" w:eastAsia="Times New Roman" w:hAnsi="Times New Roman" w:cs="Times New Roman"/>
                <w:color w:val="000000"/>
                <w:sz w:val="28"/>
                <w:szCs w:val="28"/>
                <w:lang w:val="lv-LV" w:eastAsia="ja-JP"/>
              </w:rPr>
              <w:t>noteiktajām "EURO V" emisiju robežvērtībām.</w:t>
            </w:r>
          </w:p>
          <w:p w14:paraId="5B93C10A"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DARBINIEKU APMĀCĪBA</w:t>
            </w:r>
          </w:p>
          <w:p w14:paraId="4E61716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Dārzkopības darbiniekiem ir jābūt apguvušiem dārzkopības paņēmienus, kam ir mazāka ietekme uz vidi, kas jāizmanto pakalpojumu sniegšanas laikā. Tas attiecas uz tādiem jautājumiem kā ūdens un enerģijas taupīšana, atkritumu samazināšana, apsaimniekošana un šķirošana, no atjaunojamām izejvielām izgatavotu produktu izmantošana, rīkošanās ar ķimikālijām un konteineriem, kā arī to lietošana, droša, likumīga pesticīdu, ieskaitot herbicīdus, lietošana, t.sk. izvairīšanās no rezistences pret pesticīdiem utt. Apmācība būtiskos jautājumos, ieskaitot ķimikāliju izmantošanu, ir jānodrošina, pirms darbiniekiem tiek atļauts veikt šāda veida darbu.</w:t>
            </w:r>
          </w:p>
        </w:tc>
      </w:tr>
    </w:tbl>
    <w:p w14:paraId="4B64C65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7418C62C" w14:textId="68269061" w:rsidR="000D67AB" w:rsidRPr="00967686" w:rsidRDefault="00F727E8" w:rsidP="00967686">
      <w:pPr>
        <w:keepNext/>
        <w:keepLines/>
        <w:spacing w:before="480"/>
        <w:jc w:val="center"/>
        <w:outlineLvl w:val="0"/>
        <w:rPr>
          <w:rFonts w:ascii="Times New Roman" w:eastAsia="MS Gothic" w:hAnsi="Times New Roman"/>
          <w:b/>
          <w:bCs/>
          <w:color w:val="000000"/>
          <w:sz w:val="28"/>
          <w:szCs w:val="28"/>
          <w:lang w:val="lv-LV" w:eastAsia="lv-LV"/>
        </w:rPr>
      </w:pPr>
      <w:r>
        <w:rPr>
          <w:rFonts w:ascii="Times New Roman" w:eastAsia="MS Gothic" w:hAnsi="Times New Roman"/>
          <w:b/>
          <w:bCs/>
          <w:color w:val="000000"/>
          <w:sz w:val="28"/>
          <w:szCs w:val="28"/>
          <w:lang w:val="lv-LV" w:eastAsia="lv-LV"/>
        </w:rPr>
        <w:t xml:space="preserve">4. </w:t>
      </w:r>
      <w:r w:rsidR="000D67AB" w:rsidRPr="00967686">
        <w:rPr>
          <w:rFonts w:ascii="Times New Roman" w:eastAsia="MS Gothic" w:hAnsi="Times New Roman"/>
          <w:b/>
          <w:bCs/>
          <w:color w:val="000000"/>
          <w:sz w:val="28"/>
          <w:szCs w:val="28"/>
          <w:lang w:val="lv-LV" w:eastAsia="lv-LV"/>
        </w:rPr>
        <w:t>Elektroenerģija</w:t>
      </w:r>
    </w:p>
    <w:p w14:paraId="75778163" w14:textId="77777777" w:rsidR="000D67AB" w:rsidRPr="004A1D98" w:rsidRDefault="000D67AB" w:rsidP="00426910">
      <w:pPr>
        <w:suppressAutoHyphens/>
        <w:autoSpaceDN w:val="0"/>
        <w:spacing w:after="0" w:line="240" w:lineRule="auto"/>
        <w:textAlignment w:val="baseline"/>
        <w:rPr>
          <w:rFonts w:ascii="Times New Roman" w:eastAsia="Times New Roman" w:hAnsi="Times New Roman" w:cs="Times New Roman"/>
          <w:color w:val="000000"/>
          <w:sz w:val="28"/>
          <w:szCs w:val="28"/>
          <w:lang w:val="lv-LV" w:eastAsia="ja-JP"/>
        </w:rPr>
      </w:pPr>
    </w:p>
    <w:p w14:paraId="04ABB97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Prasības un kritēriji attiecas uz elektroenerģijas iegādi, un galvenais šo kritēriju mērķis ir veicināt tādas elektroenerģijas lielāku izmantošanu, ko iegūst no atjaunojamiem avotiem </w:t>
      </w:r>
      <w:r w:rsidRPr="004A1D98">
        <w:rPr>
          <w:rFonts w:ascii="Times New Roman" w:eastAsia="Times New Roman" w:hAnsi="Times New Roman" w:cs="Times New Roman"/>
          <w:i/>
          <w:color w:val="000000"/>
          <w:sz w:val="28"/>
          <w:szCs w:val="28"/>
          <w:lang w:val="lv-LV" w:eastAsia="ja-JP"/>
        </w:rPr>
        <w:t>(RES-E).</w:t>
      </w:r>
    </w:p>
    <w:p w14:paraId="4AF6BF8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Šo prasību un kritēriju specifikācijas attiecas uz tās elektroenerģijas īpatsvaru, ko nodrošina atjaunojamie enerģijas avoti (ieteicamais apjoms vismaz 50 procenti). Prasības un kritēriji atļauj izmantot arī augstas efektivitātes siltuma un elektroenerģijas koģenerāciju no neatjaunojamiem enerģijas avotiem. Piešķiršanas kritēriju mērķis ir veicināt, lai atjaunojamie enerģijas avoti vai arī augstas efektivitātes koģenerācija veidotu vēl lielāku īpatsvaru, kas pārsniegtu specifikācijā paredzēto minimumu.</w:t>
      </w:r>
    </w:p>
    <w:p w14:paraId="771D9752" w14:textId="0816ABE1" w:rsidR="000D67AB" w:rsidRPr="004A1D98" w:rsidRDefault="00F727E8"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4</w:t>
      </w:r>
      <w:r w:rsidR="000D67AB" w:rsidRPr="004A1D98">
        <w:rPr>
          <w:rFonts w:ascii="Times New Roman" w:eastAsia="MS Gothic" w:hAnsi="Times New Roman" w:cs="Times New Roman"/>
          <w:b/>
          <w:bCs/>
          <w:color w:val="000000"/>
          <w:sz w:val="28"/>
          <w:szCs w:val="28"/>
          <w:lang w:val="lv-LV" w:eastAsia="lv-LV"/>
        </w:rPr>
        <w:t>.1. ZPI prasības un kritēriji elektroenerģijai</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4250133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5430E5D"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88ADD14"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0C51A5C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D313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5F2D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Elektroenerģijas iegāde, kur vismaz 50 procenti enerģijas nodrošina atjaunojamie enerģijas avoti (</w:t>
            </w:r>
            <w:r w:rsidRPr="004A1D98">
              <w:rPr>
                <w:rFonts w:ascii="Times New Roman" w:eastAsia="Times New Roman" w:hAnsi="Times New Roman" w:cs="Times New Roman"/>
                <w:i/>
                <w:color w:val="000000"/>
                <w:sz w:val="28"/>
                <w:szCs w:val="28"/>
                <w:lang w:val="lv-LV" w:eastAsia="ja-JP"/>
              </w:rPr>
              <w:t>RES-E</w:t>
            </w:r>
            <w:r w:rsidRPr="004A1D98">
              <w:rPr>
                <w:rFonts w:ascii="Times New Roman" w:eastAsia="Times New Roman" w:hAnsi="Times New Roman" w:cs="Times New Roman"/>
                <w:color w:val="000000"/>
                <w:sz w:val="28"/>
                <w:szCs w:val="28"/>
                <w:lang w:val="lv-LV" w:eastAsia="ja-JP"/>
              </w:rPr>
              <w:t xml:space="preserve">) un/vai augstas efektivitātes koģenerācija. </w:t>
            </w:r>
          </w:p>
        </w:tc>
      </w:tr>
      <w:tr w:rsidR="000D67AB" w:rsidRPr="004A1D98" w14:paraId="0C59E2E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1995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 specifikācija</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3599E"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ELEKTROENERĢIJAS IEGUVES VEIDS</w:t>
            </w:r>
          </w:p>
          <w:p w14:paraId="5041EE2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Vismaz 50 procenti no piegādātās elektroenerģijas jābūt elektroenerģijai, kas iegūta no atjaunojamiem enerģijas avotiem (</w:t>
            </w:r>
            <w:r w:rsidRPr="004A1D98">
              <w:rPr>
                <w:rFonts w:ascii="Times New Roman" w:eastAsia="Times New Roman" w:hAnsi="Times New Roman" w:cs="Times New Roman"/>
                <w:i/>
                <w:color w:val="000000"/>
                <w:sz w:val="28"/>
                <w:szCs w:val="28"/>
                <w:lang w:val="lv-LV" w:eastAsia="ja-JP"/>
              </w:rPr>
              <w:t>RES-E</w:t>
            </w:r>
            <w:r w:rsidRPr="004A1D98">
              <w:rPr>
                <w:rFonts w:ascii="Times New Roman" w:eastAsia="Times New Roman" w:hAnsi="Times New Roman" w:cs="Times New Roman"/>
                <w:color w:val="000000"/>
                <w:sz w:val="28"/>
                <w:szCs w:val="28"/>
                <w:lang w:val="lv-LV" w:eastAsia="ja-JP"/>
              </w:rPr>
              <w:t xml:space="preserve">) un/vai izmantojot augstas efektivitātes koģenerāciju, kā noteikts </w:t>
            </w:r>
            <w:r w:rsidRPr="004A1D98">
              <w:rPr>
                <w:rFonts w:ascii="Times New Roman" w:eastAsia="Times New Roman" w:hAnsi="Times New Roman" w:cs="Times New Roman"/>
                <w:bCs/>
                <w:color w:val="000000"/>
                <w:sz w:val="28"/>
                <w:szCs w:val="28"/>
                <w:lang w:val="lv-LV" w:eastAsia="ja-JP"/>
              </w:rPr>
              <w:t xml:space="preserve">Ministru kabineta  </w:t>
            </w:r>
            <w:r w:rsidRPr="004A1D98">
              <w:rPr>
                <w:rFonts w:ascii="Times New Roman" w:eastAsia="Times New Roman" w:hAnsi="Times New Roman" w:cs="Times New Roman"/>
                <w:color w:val="000000"/>
                <w:sz w:val="28"/>
                <w:szCs w:val="28"/>
                <w:lang w:val="lv-LV" w:eastAsia="ja-JP"/>
              </w:rPr>
              <w:t>2016. gada 17. maija</w:t>
            </w:r>
            <w:r w:rsidRPr="004A1D98">
              <w:rPr>
                <w:rFonts w:ascii="Times New Roman" w:eastAsia="Times New Roman" w:hAnsi="Times New Roman" w:cs="Times New Roman"/>
                <w:bCs/>
                <w:color w:val="000000"/>
                <w:sz w:val="28"/>
                <w:szCs w:val="28"/>
                <w:lang w:val="lv-LV" w:eastAsia="ja-JP"/>
              </w:rPr>
              <w:t xml:space="preserve"> noteikumos Nr. 294</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Koģenerācijas staciju saražotās primārās enerģijas ietaupījuma aprēķināšanas kārtība"</w:t>
            </w:r>
            <w:r w:rsidRPr="004A1D98">
              <w:rPr>
                <w:rFonts w:ascii="Times New Roman" w:eastAsia="Times New Roman" w:hAnsi="Times New Roman" w:cs="Times New Roman"/>
                <w:color w:val="000000"/>
                <w:sz w:val="28"/>
                <w:szCs w:val="28"/>
                <w:lang w:val="lv-LV" w:eastAsia="ja-JP"/>
              </w:rPr>
              <w:t xml:space="preserve">. </w:t>
            </w:r>
          </w:p>
        </w:tc>
      </w:tr>
      <w:tr w:rsidR="000D67AB" w:rsidRPr="004A1D98" w14:paraId="6389E90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35DA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C114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piešķirs par papildus </w:t>
            </w:r>
            <w:r w:rsidRPr="004A1D98">
              <w:rPr>
                <w:rFonts w:ascii="Times New Roman" w:eastAsia="Times New Roman" w:hAnsi="Times New Roman" w:cs="Times New Roman"/>
                <w:i/>
                <w:color w:val="000000"/>
                <w:sz w:val="28"/>
                <w:szCs w:val="28"/>
                <w:lang w:val="lv-LV" w:eastAsia="ja-JP"/>
              </w:rPr>
              <w:t>RES-E</w:t>
            </w:r>
            <w:r w:rsidRPr="004A1D98">
              <w:rPr>
                <w:rFonts w:ascii="Times New Roman" w:eastAsia="Times New Roman" w:hAnsi="Times New Roman" w:cs="Times New Roman"/>
                <w:color w:val="000000"/>
                <w:sz w:val="28"/>
                <w:szCs w:val="28"/>
                <w:lang w:val="lv-LV" w:eastAsia="ja-JP"/>
              </w:rPr>
              <w:t xml:space="preserve"> un/vai augstas efektivitātes koģenerāciju. </w:t>
            </w:r>
          </w:p>
          <w:p w14:paraId="33FEB8C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Papildu punktus piešķirs proporcionāli no atjaunojamiem enerģijas avotiem iegūtajam elektroenerģijas daudzumam, kas pārsniedz specifikācijās norādīto minimālo daudzumu. </w:t>
            </w:r>
          </w:p>
          <w:p w14:paraId="4E02FBF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 Papildu punktus piešķirs proporcionāli augstas efektivitātes koģenerācijā iegūtajam elektroenerģijas daudzumam, kas pārsniedz specifikācijās norādīto minimālo daudzumu. </w:t>
            </w:r>
          </w:p>
        </w:tc>
      </w:tr>
      <w:tr w:rsidR="000D67AB" w:rsidRPr="004A1D98" w14:paraId="75043EF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CD23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A1FD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Katra līguma darbības gada beigās pretendentam ir jāatklāj pasūtītājam piegādātās elektroenerģijas izcelsme, lai pierādītu, ka vismaz 50 procenti ir iegūti no atjaunojamiem enerģijas avotiem un izmantojot augstas efektivitātes koģenerāciju. </w:t>
            </w:r>
          </w:p>
        </w:tc>
      </w:tr>
    </w:tbl>
    <w:p w14:paraId="3EF15F7B" w14:textId="77777777" w:rsidR="000D67AB" w:rsidRPr="004A1D98" w:rsidRDefault="000D67AB" w:rsidP="00426910">
      <w:pPr>
        <w:spacing w:before="120" w:after="0" w:line="240" w:lineRule="auto"/>
        <w:jc w:val="both"/>
        <w:rPr>
          <w:rFonts w:ascii="Times New Roman" w:eastAsia="Times New Roman" w:hAnsi="Times New Roman" w:cs="Times New Roman"/>
          <w:b/>
          <w:color w:val="000000"/>
          <w:sz w:val="28"/>
          <w:szCs w:val="28"/>
          <w:lang w:val="lv-LV" w:eastAsia="lv-LV"/>
        </w:rPr>
      </w:pPr>
    </w:p>
    <w:p w14:paraId="4CE8B6FE" w14:textId="68CC8544" w:rsidR="000D67AB" w:rsidRPr="004A1D98" w:rsidRDefault="00F727E8"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5</w:t>
      </w:r>
      <w:r w:rsidR="000D67AB" w:rsidRPr="004A1D98">
        <w:rPr>
          <w:rFonts w:ascii="Times New Roman" w:eastAsia="MS Gothic" w:hAnsi="Times New Roman" w:cs="Times New Roman"/>
          <w:b/>
          <w:bCs/>
          <w:color w:val="000000"/>
          <w:sz w:val="28"/>
          <w:szCs w:val="28"/>
          <w:lang w:val="lv-LV" w:eastAsia="lv-LV"/>
        </w:rPr>
        <w:t>. Klozetpodi un pisuāri</w:t>
      </w:r>
    </w:p>
    <w:p w14:paraId="16C108CA"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ab/>
      </w:r>
    </w:p>
    <w:p w14:paraId="067AF10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Prasības un</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Times New Roman" w:hAnsi="Times New Roman" w:cs="Times New Roman"/>
          <w:color w:val="000000"/>
          <w:sz w:val="28"/>
          <w:szCs w:val="28"/>
          <w:lang w:val="lv-LV" w:eastAsia="lv-LV"/>
        </w:rPr>
        <w:t xml:space="preserve">kritēriji attiecināmi uz klozetpodu iekārtu, tostarp kompaktpodu, klozetpodu tvertņu un klozetpodu skalošanas sistēmu, un pisuāru iekārtu, tostarp kompaktpisuāru, pisuāru, bezūdens pisuāru un pisuāru skalošanas sistēmu, iepirkumiem </w:t>
      </w:r>
    </w:p>
    <w:p w14:paraId="357E0DA9"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ZPI prasības un kritēriji klozetpodiem un pisuāriem neattiecas uz: </w:t>
      </w:r>
    </w:p>
    <w:p w14:paraId="0C283A34" w14:textId="77777777" w:rsidR="00D56D00" w:rsidRPr="004A1D98" w:rsidRDefault="000D67AB" w:rsidP="00AB1BBF">
      <w:pPr>
        <w:numPr>
          <w:ilvl w:val="0"/>
          <w:numId w:val="35"/>
        </w:numPr>
        <w:shd w:val="clear" w:color="auto" w:fill="FFFFFF"/>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klozetpodu sēdekļiem un vākiem, ja tos laiž tirgū un/vai tirgo kā savrupu vienību; </w:t>
      </w:r>
    </w:p>
    <w:p w14:paraId="63F72BB1" w14:textId="7E4D9469" w:rsidR="000D67AB" w:rsidRPr="004A1D98" w:rsidRDefault="000D67AB" w:rsidP="00AB1BBF">
      <w:pPr>
        <w:numPr>
          <w:ilvl w:val="0"/>
          <w:numId w:val="35"/>
        </w:numPr>
        <w:shd w:val="clear" w:color="auto" w:fill="FFFFFF"/>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klozetpodu iekārtām, kurās neizmanto ūdeni, bet kuru skalošanas sistēmā izmanto ķīmiskas vielas un ūdeni, un klozetpodiem, kuru skalošanas sistēmā jāizmanto enerģija. </w:t>
      </w:r>
    </w:p>
    <w:p w14:paraId="1C541E03" w14:textId="09217A31" w:rsidR="000D67AB" w:rsidRPr="004A1D98" w:rsidRDefault="00F727E8"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5</w:t>
      </w:r>
      <w:r w:rsidR="000D67AB" w:rsidRPr="004A1D98">
        <w:rPr>
          <w:rFonts w:ascii="Times New Roman" w:eastAsia="MS Gothic" w:hAnsi="Times New Roman" w:cs="Times New Roman"/>
          <w:b/>
          <w:bCs/>
          <w:color w:val="000000"/>
          <w:sz w:val="28"/>
          <w:szCs w:val="28"/>
          <w:lang w:val="lv-LV" w:eastAsia="lv-LV"/>
        </w:rPr>
        <w:t>.1. ZPI prasības un kritēriji klozetpodu iekārtām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4CA26AD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2102477"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053DF18"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026D7267"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9B31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946C9" w14:textId="77777777" w:rsidR="000D67AB" w:rsidRPr="004A1D98" w:rsidRDefault="000D67AB" w:rsidP="00426910">
            <w:pPr>
              <w:shd w:val="clear" w:color="auto" w:fill="FFFFFF"/>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Ūdens izmantošanas ziņā efektīvu klozetpodu iekārtu iegāde jaunām vai atjaunotām ēkām </w:t>
            </w:r>
          </w:p>
        </w:tc>
      </w:tr>
      <w:tr w:rsidR="000D67AB" w:rsidRPr="004A1D98" w14:paraId="0850B5A7" w14:textId="77777777" w:rsidTr="000A7815">
        <w:trPr>
          <w:trHeight w:val="69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A83A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6EC5"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EFEKTĪVS ŪDENS IZMANTOJUMS </w:t>
            </w:r>
          </w:p>
          <w:p w14:paraId="6DE87420"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1.1. Pilns skalošanas apjoms </w:t>
            </w:r>
          </w:p>
          <w:p w14:paraId="09BBD36F"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Nominālais klozetpoda iekārtas pilnais skalošanas apjoms, iekārtai nonākot tirgū, neatkarīgi no ūdens spiediena nav lielāks par 6,0 l vienā noskalošanas reizē. </w:t>
            </w:r>
          </w:p>
          <w:p w14:paraId="05AAFAB5"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1.2. Taupīgs ūdens izmantojums </w:t>
            </w:r>
          </w:p>
          <w:p w14:paraId="0B6099C5"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Gan kompaktpodi ar pilnu skalošanas apjomu, kas pārsniedz 4,0 litrus, gan klozetpodu skalošanas sistēmas ir aprīkoti ar ūdens taupīšanas ierīci. Tos laižot tirgū, samazināts skalošanas apjoms, ko panāk, darbinot ūdens taupīšanas ierīci, neatkarīgi no ūdens spiediena nepārsniedz 3,0 l vienā noskalošanas reizē. </w:t>
            </w:r>
          </w:p>
          <w:p w14:paraId="13F7CDE5"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Klozetpoda tvertnēs var izmantot ūdens taupīšanas ierīci, kurā samazināts skalošanas apjoms, ko panāk, darbinot ūdens taupīšanas ierīci, neatkarīgi no ūdens spiediena nepārsniedz 3,0 l vienā noskalošanas reizē. </w:t>
            </w:r>
          </w:p>
          <w:p w14:paraId="24A28DEE"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1.3. Regulējams skalošanas apjoms </w:t>
            </w:r>
          </w:p>
          <w:p w14:paraId="0B2B9EBC"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Skalošanas sistēmas ir aprīkotas ar regulētājierīci, kas ļauj personai, kura veic uzstādīšanu, regulēt skalošanas apjomu, ņemot vērā kanalizācijas sistēmas vietējos apstākļus. Pilns skalošanas apjoms pēc regulēšanas pabeigšanas saskaņā ar uzstādīšanas norādījumiem nepārsniedz 6 l vienā noskalošanas reizē vai 4 l vienā noskalošanas reizē, ja kompaktpods nav aprīkots ar ūdens taupīšanas ierīci, un samazināts skalošanas apjoms pēc regulēšanas pabeigšanas saskaņā ar uzstādīšanas norādījumiem nepārsniedz 3 l vienā noskalošanas reizē. </w:t>
            </w:r>
          </w:p>
          <w:p w14:paraId="23753969"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PRODUKTA RAKSTURLIELUMI </w:t>
            </w:r>
          </w:p>
          <w:p w14:paraId="632843F0"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2.1. Skalošanas sistēmām izvirzītās prasības </w:t>
            </w:r>
          </w:p>
          <w:p w14:paraId="1AC34361"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Skalošanas sistēmas atbilst piemērojamiem standartiem.  </w:t>
            </w:r>
          </w:p>
          <w:p w14:paraId="4FFC9703"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2.2. Skalošanas raksturlielumi </w:t>
            </w:r>
          </w:p>
          <w:p w14:paraId="283A1F77"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Kompaktpodu un klozetpoda tvertņu skalošanas raksturlielumi atbilst piemērojamiem standartiem. </w:t>
            </w:r>
          </w:p>
          <w:p w14:paraId="58D5D5BF"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 PRODUKTA LIETOŠANAS ILGUMS </w:t>
            </w:r>
          </w:p>
          <w:p w14:paraId="1E75DF19"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Klozetpodu skalošanas iekārtai ir vismaz četru gadu remonta vai nomaiņas garantija. Garantijas nosacījumi skaidri paredz, ka tā attiecas uz produkta hermētiskumu un jebkuru vārstu. Pieteikuma iesniedzējs turklāt nodrošina, lai oriģinālās vai tām līdzvērtīgas rezerves daļas būtu pieejamas vismaz desmit gadus no produkta iegādes dienas. </w:t>
            </w:r>
          </w:p>
          <w:p w14:paraId="2AFC8C56"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4. UZSTĀDĪŠANAS NORĀDĪJUMI/ LIETOŠANAS INSTRUKCIJA </w:t>
            </w:r>
          </w:p>
          <w:p w14:paraId="35A0994F" w14:textId="77777777" w:rsidR="000D67AB" w:rsidRPr="004A1D98" w:rsidRDefault="000D67AB" w:rsidP="00426910">
            <w:pPr>
              <w:shd w:val="clear" w:color="auto" w:fill="FFFFFF"/>
              <w:suppressAutoHyphens/>
              <w:autoSpaceDN w:val="0"/>
              <w:spacing w:before="100" w:after="10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Klozetpoda skalošanas iekārtai tiek nodrošināta turpmāk minētā informācija drukātā veidā (uz produkta iepakojuma un/vai tam pievienotajā dokumentācijā) un/vai elektroniskā formātā. </w:t>
            </w:r>
          </w:p>
          <w:p w14:paraId="6D262BE9" w14:textId="77777777" w:rsidR="000D67AB" w:rsidRPr="004A1D98" w:rsidRDefault="000D67AB" w:rsidP="00426910">
            <w:pPr>
              <w:shd w:val="clear" w:color="auto" w:fill="FFFFFF"/>
              <w:suppressAutoHyphens/>
              <w:autoSpaceDN w:val="0"/>
              <w:spacing w:before="100" w:after="10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4.1. Atbilstoši uzstādīšanas norādījumi, tostarp informācija par to, attiecībā uz kādu(-ām) klasi(-ēm) un/vai veidu(-iem) produkts ir testēts, informācija par to, kādiem konkrētiem darba spiedieniem šis produkts ir paredzēts, informācija par to, ar kāda veida kanalizācijas sistēmām šo produktu var izmantot, informācija par to, kā regulēt skalošanas apjomu un tā ietekmi (piemēram, attiecībā uz atlikušo ūdens līmeni, uzpildes ūdens līmeni utt.), un, gadījumā, ja klozetpoda tvertnes un klozetpoda skalošanas sistēmas tirgū tiek laistas atsevišķi, informācija par to, ar kādiem produktiem tās ir jākombinē, lai veidotu pilnībā funkcionējošu un ūdens izmantošanas ziņā efektīvu vienību. </w:t>
            </w:r>
          </w:p>
          <w:p w14:paraId="6C6F7D08" w14:textId="77777777" w:rsidR="000D67AB" w:rsidRPr="004A1D98" w:rsidRDefault="000D67AB" w:rsidP="00426910">
            <w:pPr>
              <w:shd w:val="clear" w:color="auto" w:fill="FFFFFF"/>
              <w:suppressAutoHyphens/>
              <w:autoSpaceDN w:val="0"/>
              <w:spacing w:before="100" w:after="10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4.2. Padomi, kā, racionāli izmantojot ūdeni, var cik vien iespējams samazināt ietekmi uz vidi, jo īpaši informācija par atbilstošu produkta lietošanu, lai cik vien iespējams samazinātu ūdens patēriņu. </w:t>
            </w:r>
          </w:p>
          <w:p w14:paraId="0C1C919F" w14:textId="77777777" w:rsidR="000D67AB" w:rsidRPr="004A1D98" w:rsidRDefault="000D67AB" w:rsidP="00426910">
            <w:pPr>
              <w:shd w:val="clear" w:color="auto" w:fill="FFFFFF"/>
              <w:suppressAutoHyphens/>
              <w:autoSpaceDN w:val="0"/>
              <w:spacing w:before="100" w:after="10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4.3. Informācija par pilnu un samazinātu skalošanas apjomu, izteiktu litros vienā noskalošanas reizē. </w:t>
            </w:r>
          </w:p>
          <w:p w14:paraId="3F0B4206" w14:textId="77777777" w:rsidR="000D67AB" w:rsidRPr="004A1D98" w:rsidRDefault="000D67AB" w:rsidP="00426910">
            <w:pPr>
              <w:shd w:val="clear" w:color="auto" w:fill="FFFFFF"/>
              <w:suppressAutoHyphens/>
              <w:autoSpaceDN w:val="0"/>
              <w:spacing w:before="100" w:after="10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4.4. Ieteikumi par atbilstošu produkta lietošanu un apkopi, tostarp informācija par to, kuras rezerves daļas var nomainīt, norādījumi par starpliku un citas armatūras nomaiņu, ja produktā ir noplūde, tīrīšanas ieteikumi utt. </w:t>
            </w:r>
          </w:p>
          <w:p w14:paraId="2DF0C20A" w14:textId="77777777" w:rsidR="000D67AB" w:rsidRPr="004A1D98" w:rsidRDefault="000D67AB" w:rsidP="00426910">
            <w:pPr>
              <w:shd w:val="clear" w:color="auto" w:fill="FFFFFF"/>
              <w:suppressAutoHyphens/>
              <w:autoSpaceDN w:val="0"/>
              <w:spacing w:before="100" w:after="10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4.5. Informācija par atbilstošu pārstrādi pēc produkta aprites cikla beigām. </w:t>
            </w:r>
          </w:p>
        </w:tc>
      </w:tr>
      <w:tr w:rsidR="000D67AB" w:rsidRPr="004A1D98" w14:paraId="240160EA"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58E1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94B65"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Punktus piešķir par turpmāk minēto kritēriju izpildi. </w:t>
            </w:r>
          </w:p>
          <w:p w14:paraId="7D0E344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 PAPILDU TAUPĪGS ŪDENS IZMANTOJUMS PILNAI SKALOŠANAI </w:t>
            </w:r>
          </w:p>
          <w:p w14:paraId="24F7CEA0"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katru 0,5 litru ūdens papildu ietaupījumu pilnam skalošanas apjomam, kā noteikts 1.1. kritērijā. </w:t>
            </w:r>
          </w:p>
          <w:p w14:paraId="51BE9356"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 PAPILDU TAUPĪGS ŪDENS IZMANTOJUMS SAMAZINĀTAI SKALOŠANAI </w:t>
            </w:r>
          </w:p>
          <w:p w14:paraId="17272176"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katru 0,25 litru ūdens papildu ietaupījumu samazinātam skalošanas apjomam, kā noteikts 1.2. kritērijā. </w:t>
            </w:r>
          </w:p>
          <w:p w14:paraId="533B6FD4"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3. HIGIĒNA </w:t>
            </w:r>
          </w:p>
          <w:p w14:paraId="2A3DE831"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bezkontakta (ar sensoru aprīkotu) skalošanas kontrolsviru, kas nepieļauj nevajadzīgu mehānisma iedarbināšanu un nodrošina skalošanu tikai pēc produkta faktiskās lietošanas. </w:t>
            </w:r>
          </w:p>
        </w:tc>
      </w:tr>
    </w:tbl>
    <w:p w14:paraId="63EFC4ED" w14:textId="77777777" w:rsidR="000D67AB" w:rsidRPr="004A1D98" w:rsidRDefault="000D67AB" w:rsidP="00426910">
      <w:pPr>
        <w:shd w:val="clear" w:color="auto" w:fill="FFFFFF"/>
        <w:suppressAutoHyphens/>
        <w:autoSpaceDN w:val="0"/>
        <w:spacing w:before="120" w:after="120" w:line="240" w:lineRule="auto"/>
        <w:textAlignment w:val="baseline"/>
        <w:rPr>
          <w:rFonts w:ascii="Times New Roman" w:eastAsia="Times New Roman" w:hAnsi="Times New Roman" w:cs="Times New Roman"/>
          <w:b/>
          <w:color w:val="000000"/>
          <w:sz w:val="28"/>
          <w:szCs w:val="28"/>
          <w:lang w:val="lv-LV" w:eastAsia="ja-JP"/>
        </w:rPr>
      </w:pPr>
    </w:p>
    <w:p w14:paraId="0062A2BA" w14:textId="64596046"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5</w:t>
      </w:r>
      <w:r w:rsidR="000D67AB" w:rsidRPr="004A1D98">
        <w:rPr>
          <w:rFonts w:ascii="Times New Roman" w:eastAsia="MS Gothic" w:hAnsi="Times New Roman" w:cs="Times New Roman"/>
          <w:b/>
          <w:bCs/>
          <w:color w:val="000000"/>
          <w:sz w:val="28"/>
          <w:szCs w:val="28"/>
          <w:lang w:val="lv-LV" w:eastAsia="lv-LV"/>
        </w:rPr>
        <w:t>.2 ZPI prasības un kritēriji pisuāru iekārtām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45B3D11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30958E3"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8A3F9D1"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091A9237"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95D7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3463E"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Ūdens izmantošanas ziņā efektīvu pisuāru iekārtu iegāde jaunām vai atjaunotām ēkām </w:t>
            </w:r>
          </w:p>
        </w:tc>
      </w:tr>
      <w:tr w:rsidR="000D67AB" w:rsidRPr="004A1D98" w14:paraId="335CBE26"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80BB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64D1D"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PISUĀRU SKALOŠANAS IEKĀRTU EFEKTĪVS ŪDENS IZMANTOJUMS </w:t>
            </w:r>
          </w:p>
          <w:p w14:paraId="3E191F03"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1.1. Pilns skalošanas apjoms </w:t>
            </w:r>
          </w:p>
          <w:p w14:paraId="64C788E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Nominālais pisuāra skalošanas iekārtas pilnais skalošanas apjoms, iekārtai nonākot tirgū, neatkarīgi no ūdens spiediena nav lielāks kā 2,0 l vienā noskalošanas reizē. </w:t>
            </w:r>
          </w:p>
          <w:p w14:paraId="55DB3B4A"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1.2. Taupīgs ūdens izmantojums </w:t>
            </w:r>
          </w:p>
          <w:p w14:paraId="567E6305"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Kompaktpisuāros un pisuāru skalošanas sistēmās ir uzstādīta atsevišķos gadījumos izmantojama skalošanas kontrolsvira pēc pieprasījuma. Ar skalošanas sistēmu aprīkotos plākšņveida pisuāros ir atsevišķi lietojama skalošanas kontrolsvira pēc pieprasījuma, kas regulē noskalojumu uz nepārtrauktās sienas ne vairāk kā 60 cm platumā. </w:t>
            </w:r>
          </w:p>
          <w:p w14:paraId="49A98830"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Pisuāros drīkst lietot atsevišķos gadījumos izmantojamu skalošanas kontrolsviru pēc pieprasījuma. Plākšņveida pisuāros, kas nav aprīkoti ar skalošanas sistēmu, liek atsevišķos gadījumos izmantojamu skalošanas kontrolsviru pēc pieprasījuma, kas jānovieto uz nepārtrauktās sienas ne vairāk kā 60 cm platumā. </w:t>
            </w:r>
          </w:p>
          <w:p w14:paraId="07DA7D5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1.3. Regulējams skalošanas apjoms </w:t>
            </w:r>
          </w:p>
          <w:p w14:paraId="64066B2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Skalošanas sistēmas ir aprīkotas ar regulētājierīci, kas ļauj personai, kura veic uzstādīšanu, regulēt skalošanas apjomu, ņemot vērā kanalizācijas sistēmas vietējos apstākļus. Pilns skalošanas apjoms pēc regulēšanas pabeigšanas saskaņā ar uzstādīšanas norādījumiem nepārsniedz 2 l vienā noskalošanas reizē. </w:t>
            </w:r>
          </w:p>
          <w:p w14:paraId="6548E7F8"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 PRODUKTA RAKSTURLIELUMI </w:t>
            </w:r>
          </w:p>
          <w:p w14:paraId="38F7EF29"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2.1. Pisuāru skalošanas sistēmām izvirzītās prasības </w:t>
            </w:r>
          </w:p>
          <w:p w14:paraId="1A9EB81C"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Skalošanas sistēmas atbilst piemērojamiem standartiem.  </w:t>
            </w:r>
          </w:p>
          <w:p w14:paraId="5609D73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2.2. Kompaktpisuāru un pisuāru skalošanas raksturlielumi </w:t>
            </w:r>
          </w:p>
          <w:p w14:paraId="52918EE0"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Kompaktpisuāru un pisuāru skalošanas raksturlielumi atbilst piemērojamo standartu prasībām. </w:t>
            </w:r>
          </w:p>
          <w:p w14:paraId="35230EED"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2.3. Bezūdens pisuāru raksturlielumi </w:t>
            </w:r>
          </w:p>
          <w:p w14:paraId="1D0074F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Bezūdens pisuāri atbilst Komisijas lēmuma (2013/641/ES) "Par ekoloģiskajiem kritērijiem ES ekomarķējuma piešķiršanai klozetpodiem un pisuāriem" 2. papildinājumā noteiktajām prasībām. </w:t>
            </w:r>
          </w:p>
          <w:p w14:paraId="3594CE0D"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3. PRODUKTA LIETOŠANAS ILGUMS </w:t>
            </w:r>
          </w:p>
          <w:p w14:paraId="28B18EC8"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Pisuāra skalošanas iekārtai ir vismaz piecu gadu remonta vai nomaiņas garantija. Garantijas nosacījumi skaidri paredz, ka tā attiecas attiecas uz produkta hermētiskumu un jebkuru vārstu. Piegādātājs turklāt nodrošina, lai oriģinālās vai tām līdzvērtīgas rezerves daļas būtu pieejamas vismaz desmit gadus no produkta iegādes dienas. </w:t>
            </w:r>
          </w:p>
          <w:p w14:paraId="3EBF6220"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4. ŠĶĪDUMA BIOLOĢISKĀ NOĀRDĪŠANĀS UN BEZŪDENS PISUĀRU APKOPE </w:t>
            </w:r>
          </w:p>
          <w:p w14:paraId="4F244CCD"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Bezūdens pisuāros izmanto vieglu bioloģiski noārdošos šķīdumu, vai arī tie darbojas pilnīgi bez tā. Turklāt piegādātājam jāprecizē bezūdens pisuāriem nepieciešamais apkopes režīms, tostarp attiecīgā gadījumā informācija par kasetes nomaiņas laika skalu, un jānorāda pakalpojuma sniedzēju saraksts šo produktu regulāras apkopes veikšanai. </w:t>
            </w:r>
          </w:p>
          <w:p w14:paraId="3EA332E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5. UZSTĀDĪŠANAS NORĀDĪJUMI/ LIETOŠANAS INSTRUKCIJA </w:t>
            </w:r>
          </w:p>
          <w:p w14:paraId="15E3DCD9"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Pisuāru skalošanas iekārtai tiek nodrošināta turpmāk minētā informācija drukātā veidā (uz produkta iepakojuma un/vai tam pievienotajā dokumentācijā) un/vai elektroniskā formātā. </w:t>
            </w:r>
          </w:p>
          <w:p w14:paraId="619C3504"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5.1. Atbilstoši uzstādīšanas norādījumi, tostarp informācija par to, attiecībā uz kādu (-ām) klasi (-ēm) un/vai veidu (-iem) produkts ir testēts, informācija par to, kādiem konkrētiem darba spiedieniem šis produkts ir paredzēts, informācija par to, ar kāda veida kanalizācijas sistēmām šo produktu var izmantot, informācija par to, kā regulēt pilnu skalošanas apjomu un tā ietekmi (piemēram, attiecībā uz atlikušo ūdens līmeni, uzpildes ūdens līmeni utt.), un, gadījumā, ja pisuāri un pisuāru skalošanas sistēmas tirgū tiek laisti atsevišķi, informācija par to, ar kādiem produktiem tie ir jākombinē, lai veidotu pilnībā funkcionējošu un ūdens izmantošanas ziņā efektīvu vienību. </w:t>
            </w:r>
          </w:p>
          <w:p w14:paraId="40AABF88"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5.2. Padomi, kā, racionāli izmantojot ūdeni, var cik vien iespējams samazināt ietekmi uz vidi, jo īpaši informācija par atbilstošu produkta lietošanu, lai cik vien iespējams samazinātu ūdens patēriņu. </w:t>
            </w:r>
          </w:p>
          <w:p w14:paraId="71829F84"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5.3. Informācija par pilnu skalošanas apjomu, izteiktu litros vienā noskalošanas reizē. </w:t>
            </w:r>
          </w:p>
          <w:p w14:paraId="3B2E865C"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5.4. Ieteikumi par atbilstošu produkta lietošanu un apkopi, tostarp padomi par produktu lietošanu un apkopi, informācija par to, kuras rezerves daļas ir nomaināmas, norādījumi par starpliku un citas armatūras nomaiņu, ja produktā ir noplūde, tīrīšanas ieteikumi utt. </w:t>
            </w:r>
          </w:p>
          <w:p w14:paraId="02E5578F"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5.5. Informācija par atbilstošu pārstrādi pēc produkta aprites cikla beigām. </w:t>
            </w:r>
          </w:p>
        </w:tc>
      </w:tr>
      <w:tr w:rsidR="000D67AB" w:rsidRPr="004A1D98" w14:paraId="6B3C0ADB"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7904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791F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Punktus piešķir par turpmāk minēto kritēriju izpildi. </w:t>
            </w:r>
          </w:p>
          <w:p w14:paraId="0356BEB2"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 PAPILDU TAUPĪGS ŪDENS IZMANTOJUMS SKALOŠANAI </w:t>
            </w:r>
          </w:p>
          <w:p w14:paraId="31DE549C"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katru 0,25 litru ūdens papildu ietaupījumu pilnam skalošanas apjomam, kā noteikts 1.1. kritērijā. </w:t>
            </w:r>
          </w:p>
          <w:p w14:paraId="3960A303"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 HIGIĒNA </w:t>
            </w:r>
          </w:p>
          <w:p w14:paraId="4B5A88B9"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tiek piešķirti par bezkontakta (ar sensoru aprīkotu) skalošanas kontrolsviru, kas nepieļauj nevajadzīgu mehānisma iedarbināšanu un nodrošina skalošanu tikai pēc produkta faktiskās lietošanas. </w:t>
            </w:r>
          </w:p>
        </w:tc>
      </w:tr>
    </w:tbl>
    <w:p w14:paraId="797951BE"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3E41CC4D" w14:textId="53CF394A"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6</w:t>
      </w:r>
      <w:r w:rsidR="000D67AB" w:rsidRPr="004A1D98">
        <w:rPr>
          <w:rFonts w:ascii="Times New Roman" w:eastAsia="MS Gothic" w:hAnsi="Times New Roman" w:cs="Times New Roman"/>
          <w:b/>
          <w:bCs/>
          <w:color w:val="000000"/>
          <w:sz w:val="28"/>
          <w:szCs w:val="28"/>
          <w:lang w:val="lv-LV" w:eastAsia="lv-LV"/>
        </w:rPr>
        <w:t>. Koģenerācijas iekārtas</w:t>
      </w:r>
    </w:p>
    <w:p w14:paraId="7D477D8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r>
    </w:p>
    <w:p w14:paraId="3AA8E41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Koģenerācija ir vienlaicīga siltumenerģijas un elektroenerģijas un/vai mehāniskās enerģijas ražošana. Prasības attiecas uz koģenerācijas iekārtām, t. i., iekārtām, kuras var darboties koģenerācijas režīmā. </w:t>
      </w:r>
    </w:p>
    <w:p w14:paraId="7C440E7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Ja prasības attiecas uz dažāda izmēra koģenerācijas iekārtām, t. i., mazām vai mikroiekārtām, piemēro šādas definīcijas: </w:t>
      </w:r>
    </w:p>
    <w:p w14:paraId="6A100A07" w14:textId="77777777" w:rsidR="00F72968" w:rsidRPr="004A1D98" w:rsidRDefault="000D67AB" w:rsidP="00AB1BBF">
      <w:pPr>
        <w:numPr>
          <w:ilvl w:val="0"/>
          <w:numId w:val="36"/>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mikrokoģenerācijas iekārta ir koģenerācijas iekārta, kuras maksimālā jauda ir mazāka par 50 kWe; </w:t>
      </w:r>
    </w:p>
    <w:p w14:paraId="47471A97" w14:textId="045DAB87" w:rsidR="000D67AB" w:rsidRPr="004A1D98" w:rsidRDefault="000D67AB" w:rsidP="00AB1BBF">
      <w:pPr>
        <w:numPr>
          <w:ilvl w:val="0"/>
          <w:numId w:val="36"/>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mazas jaudas koģenerācijas iekārta ir koģenerācijas iekārta, kuras uzstādītā jauda ir mazāka par 1 MWe. </w:t>
      </w:r>
    </w:p>
    <w:p w14:paraId="0DD3F11E" w14:textId="4FD5C03F"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6</w:t>
      </w:r>
      <w:r w:rsidR="000D67AB" w:rsidRPr="004A1D98">
        <w:rPr>
          <w:rFonts w:ascii="Times New Roman" w:eastAsia="MS Gothic" w:hAnsi="Times New Roman" w:cs="Times New Roman"/>
          <w:b/>
          <w:bCs/>
          <w:color w:val="000000"/>
          <w:sz w:val="28"/>
          <w:szCs w:val="28"/>
          <w:lang w:val="lv-LV" w:eastAsia="lv-LV"/>
        </w:rPr>
        <w:t>.1. ZPI prasības koģenerācijas iekārtām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5D88670A"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6D5D2B5"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401362F"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64180EB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5CCC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E394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Efektīvas koģenerācijas iekārtas vai stacijas iepirkums </w:t>
            </w:r>
          </w:p>
        </w:tc>
      </w:tr>
      <w:tr w:rsidR="000D67AB" w:rsidRPr="004A1D98" w14:paraId="71EDCB71"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607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3C67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IEKĀRTAS KOPĒJĀS EFEKTIVITĀTES MINIMUMS </w:t>
            </w:r>
          </w:p>
          <w:p w14:paraId="59F0B7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Lai nodrošinātu enerģijas efektīvu pārveidošanu siltumenerģijā vai elektroenerģijā, iekārtas kopējās efektivitātes minimums ir 75 procenti vai lielāks saskaņā ar Ministru kabineta 2016. gada 17. maija noteikumiem Nr. 294 "Koģenerācijas staciju saražotās primārās enerģijas ietaupījuma aprēķināšanas kārtība".</w:t>
            </w:r>
          </w:p>
          <w:p w14:paraId="02C1D936"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PRASĪBAS AUGSTAS EFEKTIVITĀTES KOĢENERĀCIJAI </w:t>
            </w:r>
          </w:p>
          <w:p w14:paraId="61B69CC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Koģenerācijas stacija atbilst turpmāk izklāstītajām prasībām augstas efektivitātes koģenerācijai, ja saskaņā ar Ministru kabineta 2009. gada 10. marta noteikumu Nr. 221 "Noteikumi par elektronenerģijas ražošanu un cenu noteikšanu, ražojot elektroenerģiju koģenerācijā" 6. punktu aprēķinātais primāro energoresursu ietaupījums ir:</w:t>
            </w:r>
          </w:p>
          <w:p w14:paraId="35AA1016" w14:textId="77777777" w:rsidR="000D67AB" w:rsidRPr="004A1D98" w:rsidRDefault="000D67AB" w:rsidP="00AB1BBF">
            <w:pPr>
              <w:numPr>
                <w:ilvl w:val="0"/>
                <w:numId w:val="56"/>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lielāks par 1 procentu mazas jaudas koģenerācijas iekārtām;</w:t>
            </w:r>
          </w:p>
          <w:p w14:paraId="5837DB88" w14:textId="77777777" w:rsidR="000D67AB" w:rsidRPr="004A1D98" w:rsidRDefault="000D67AB" w:rsidP="00AB1BBF">
            <w:pPr>
              <w:numPr>
                <w:ilvl w:val="0"/>
                <w:numId w:val="56"/>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ne mazāks par 10 procentiem pārējām koģenerācijas iekārtām.</w:t>
            </w:r>
          </w:p>
        </w:tc>
      </w:tr>
    </w:tbl>
    <w:p w14:paraId="4AA2A27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5C4079BD" w14:textId="563D0E19"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7</w:t>
      </w:r>
      <w:r w:rsidR="000D67AB" w:rsidRPr="004A1D98">
        <w:rPr>
          <w:rFonts w:ascii="Times New Roman" w:eastAsia="MS Gothic" w:hAnsi="Times New Roman" w:cs="Times New Roman"/>
          <w:b/>
          <w:bCs/>
          <w:color w:val="000000"/>
          <w:sz w:val="28"/>
          <w:szCs w:val="28"/>
          <w:lang w:val="lv-LV" w:eastAsia="lv-LV"/>
        </w:rPr>
        <w:t>.  Mēbeles</w:t>
      </w:r>
    </w:p>
    <w:p w14:paraId="308B29D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Prasības un kritēriji aptver </w:t>
      </w:r>
      <w:r w:rsidRPr="004A1D98">
        <w:rPr>
          <w:rFonts w:ascii="Times New Roman" w:eastAsia="Times New Roman" w:hAnsi="Times New Roman" w:cs="Times New Roman"/>
          <w:color w:val="000000"/>
          <w:sz w:val="28"/>
          <w:szCs w:val="28"/>
          <w:u w:val="single"/>
          <w:lang w:val="lv-LV" w:eastAsia="en-GB"/>
        </w:rPr>
        <w:t>iekštelpu mēbeles</w:t>
      </w:r>
      <w:r w:rsidRPr="004A1D98">
        <w:rPr>
          <w:rFonts w:ascii="Times New Roman" w:eastAsia="Times New Roman" w:hAnsi="Times New Roman" w:cs="Times New Roman"/>
          <w:color w:val="000000"/>
          <w:sz w:val="28"/>
          <w:szCs w:val="28"/>
          <w:lang w:val="lv-LV" w:eastAsia="en-GB"/>
        </w:rPr>
        <w:t xml:space="preserve"> darbam, piemēram, birojiem un skolām, kā arī mājsaimniecībām. Prasības un kritēriji neietver būvniecības izstrādājumus (piemēram, kāpnes, sienas, ciļņus, paneļus), sanitārtehniku, paklājus, tekstilizstrādājumus, biroja preces un citus produktus, kuru sākotnējais uzdevums nav kalpot kā mēbelei. </w:t>
      </w:r>
    </w:p>
    <w:p w14:paraId="65D00ED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Prasības un kritēriji aptver tādas </w:t>
      </w:r>
      <w:r w:rsidRPr="004A1D98">
        <w:rPr>
          <w:rFonts w:ascii="Times New Roman" w:eastAsia="Times New Roman" w:hAnsi="Times New Roman" w:cs="Times New Roman"/>
          <w:color w:val="000000"/>
          <w:sz w:val="28"/>
          <w:szCs w:val="28"/>
          <w:u w:val="single"/>
          <w:lang w:val="lv-LV" w:eastAsia="en-GB"/>
        </w:rPr>
        <w:t>āra mēbeles</w:t>
      </w:r>
      <w:r w:rsidRPr="004A1D98">
        <w:rPr>
          <w:rFonts w:ascii="Times New Roman" w:eastAsia="Times New Roman" w:hAnsi="Times New Roman" w:cs="Times New Roman"/>
          <w:color w:val="000000"/>
          <w:sz w:val="28"/>
          <w:szCs w:val="28"/>
          <w:lang w:val="lv-LV" w:eastAsia="en-GB"/>
        </w:rPr>
        <w:t xml:space="preserve"> kā soli, galdi un krēsli, izņemot citus produktus, kuru sākotnējais uzdevums nav kalpot kā mēbelei (ielu lampas, aprīkojums velosipēdu novietošanai, rotaļu laukumi utt.). </w:t>
      </w:r>
    </w:p>
    <w:p w14:paraId="79D5443C"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Piedāvātās prasības un  kritēriji attiecas uz materiāliem, kurus mēbeļu ražošanā izmanto visbiežāk (koksne un koksnes materiāli, metāli, plastmasa, polsterējums un audumi), kā arī uz pārklājumiem un savienotājiem/līmēm, ko izmanto produkta salikšanai un iepakošanai.</w:t>
      </w:r>
    </w:p>
    <w:p w14:paraId="3DA25C0F" w14:textId="77777777" w:rsidR="00617F91" w:rsidRPr="004A1D98" w:rsidRDefault="00617F91" w:rsidP="00426910">
      <w:pPr>
        <w:spacing w:after="120" w:line="264" w:lineRule="auto"/>
        <w:jc w:val="both"/>
        <w:rPr>
          <w:rFonts w:ascii="Times New Roman" w:eastAsia="Times New Roman" w:hAnsi="Times New Roman" w:cs="Times New Roman"/>
          <w:color w:val="000000"/>
          <w:sz w:val="28"/>
          <w:szCs w:val="28"/>
          <w:lang w:val="lv-LV"/>
        </w:rPr>
      </w:pPr>
    </w:p>
    <w:p w14:paraId="18B26F69" w14:textId="77777777" w:rsidR="00617F91" w:rsidRPr="004A1D98" w:rsidRDefault="00617F91" w:rsidP="00426910">
      <w:pPr>
        <w:spacing w:after="120" w:line="264" w:lineRule="auto"/>
        <w:jc w:val="both"/>
        <w:rPr>
          <w:rFonts w:ascii="Times New Roman" w:eastAsia="Times New Roman" w:hAnsi="Times New Roman" w:cs="Times New Roman"/>
          <w:color w:val="000000"/>
          <w:sz w:val="28"/>
          <w:szCs w:val="28"/>
          <w:lang w:val="lv-LV"/>
        </w:rPr>
      </w:pPr>
    </w:p>
    <w:p w14:paraId="05A7A99C" w14:textId="7F52AD6B"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7</w:t>
      </w:r>
      <w:r w:rsidR="000D67AB" w:rsidRPr="004A1D98">
        <w:rPr>
          <w:rFonts w:ascii="Times New Roman" w:eastAsia="MS Gothic" w:hAnsi="Times New Roman" w:cs="Times New Roman"/>
          <w:b/>
          <w:bCs/>
          <w:color w:val="000000"/>
          <w:sz w:val="28"/>
          <w:szCs w:val="28"/>
          <w:lang w:val="lv-LV" w:eastAsia="lv-LV"/>
        </w:rPr>
        <w:t>.1. ZPI prasības un kritēriji mēbelēm</w:t>
      </w:r>
    </w:p>
    <w:p w14:paraId="0C228A3C" w14:textId="77777777" w:rsidR="000D67AB" w:rsidRPr="004A1D98" w:rsidRDefault="000D67AB" w:rsidP="00426910">
      <w:pPr>
        <w:spacing w:after="120" w:line="264" w:lineRule="auto"/>
        <w:jc w:val="both"/>
        <w:rPr>
          <w:rFonts w:ascii="Times New Roman" w:eastAsia="Times New Roman" w:hAnsi="Times New Roman" w:cs="Times New Roman"/>
          <w:b/>
          <w:bCs/>
          <w:sz w:val="28"/>
          <w:szCs w:val="28"/>
          <w:lang w:val="lv-LV"/>
        </w:rPr>
      </w:pPr>
    </w:p>
    <w:tbl>
      <w:tblPr>
        <w:tblW w:w="8505" w:type="dxa"/>
        <w:tblInd w:w="-5" w:type="dxa"/>
        <w:tblLayout w:type="fixed"/>
        <w:tblCellMar>
          <w:left w:w="10" w:type="dxa"/>
          <w:right w:w="10" w:type="dxa"/>
        </w:tblCellMar>
        <w:tblLook w:val="04A0" w:firstRow="1" w:lastRow="0" w:firstColumn="1" w:lastColumn="0" w:noHBand="0" w:noVBand="1"/>
      </w:tblPr>
      <w:tblGrid>
        <w:gridCol w:w="3402"/>
        <w:gridCol w:w="5103"/>
      </w:tblGrid>
      <w:tr w:rsidR="000D67AB" w:rsidRPr="004A1D98" w14:paraId="13C8B793" w14:textId="77777777" w:rsidTr="000A7815">
        <w:trPr>
          <w:trHeight w:val="552"/>
        </w:trPr>
        <w:tc>
          <w:tcPr>
            <w:tcW w:w="340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41DDAFE"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Iepirkuma dokumentu sastāvdaļas</w:t>
            </w:r>
          </w:p>
        </w:tc>
        <w:tc>
          <w:tcPr>
            <w:tcW w:w="5103"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86708C8"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ZPI prasības un kritēriji</w:t>
            </w:r>
          </w:p>
        </w:tc>
      </w:tr>
      <w:tr w:rsidR="000D67AB" w:rsidRPr="004A1D98" w14:paraId="34D8E02C" w14:textId="77777777" w:rsidTr="000A7815">
        <w:trPr>
          <w:trHeight w:val="552"/>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750DB"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priekšmets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59BDA"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Mēbeles, kas ražotas, izmantojot videi draudzīgus materiālus un procesus. </w:t>
            </w:r>
          </w:p>
        </w:tc>
      </w:tr>
      <w:tr w:rsidR="000D67AB" w:rsidRPr="004A1D98" w14:paraId="57300B62" w14:textId="77777777" w:rsidTr="000A7815">
        <w:trPr>
          <w:trHeight w:val="552"/>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CD9FD"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Tehniskās specifikācijas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3AF3B"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KOKSNE UN KOKSNES MATERIĀLI </w:t>
            </w:r>
          </w:p>
          <w:p w14:paraId="09C628B4"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Visai koksnei un koksnes materiāliem ir jānāk no likumīgas izcelsmes koksnes.</w:t>
            </w:r>
          </w:p>
          <w:p w14:paraId="121432B2"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2. FORMALDEHĪDA EMISIJAS NO KOKSNES MATERIĀLU PLĀTNĒM</w:t>
            </w:r>
          </w:p>
          <w:p w14:paraId="2BE99E13"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i/>
                <w:iCs/>
                <w:color w:val="000000"/>
                <w:sz w:val="28"/>
                <w:szCs w:val="28"/>
                <w:lang w:val="lv-LV" w:eastAsia="en-GB"/>
              </w:rPr>
            </w:pPr>
            <w:r w:rsidRPr="004A1D98">
              <w:rPr>
                <w:rFonts w:ascii="Times New Roman" w:eastAsia="Times New Roman" w:hAnsi="Times New Roman" w:cs="Times New Roman"/>
                <w:i/>
                <w:iCs/>
                <w:color w:val="000000"/>
                <w:sz w:val="28"/>
                <w:szCs w:val="28"/>
                <w:lang w:val="lv-LV" w:eastAsia="en-GB"/>
              </w:rPr>
              <w:t xml:space="preserve">(Šo prasību piemēro neatkarīgi no koksnes materiālu plātņu masas daļas mēbeļu izstrādājumā.) </w:t>
            </w:r>
          </w:p>
          <w:p w14:paraId="3C61F65A"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Formaldehīda emisijas no visām koksnes materiālu plātnēm, kuras piegādātas tādā formā, kādā tās izmanto mēbeļu izstrādājumā (proti, neapdarītas, pārklātas, aplīmētas, finierētas), un kuru ražošanā izmantoti sveķi uz formaldehīda bāzes, nepārsniedz formaldehīda emisiju E1 robežvērtības, kas noteiktas piemērojamos standartos. </w:t>
            </w:r>
          </w:p>
          <w:p w14:paraId="15349E0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3. PUTU VEIDOTĀJI (ATTIECAS TIKAI UZ MĪKSTAJĀM MĒBELĒM)</w:t>
            </w:r>
          </w:p>
          <w:p w14:paraId="1EA0643E"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Ja mēbeļu tapsēšanā izmanto putu polsterēšanas materiālus, šādu polsterēšanas materiālu izgatavošanā neizmanto halogenētus organiskos savienojumus ne kā putu veidotājus, ne kā papildu putu veidotājus</w:t>
            </w:r>
          </w:p>
          <w:p w14:paraId="0A325A3F"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4. ZIŅOŠANA PAR REACH KANDIDĀTU SARAKSTA VIELĀM</w:t>
            </w:r>
          </w:p>
          <w:p w14:paraId="48BCCD72"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Pretendents deklarē ikvienas tādas REACH kandidātu saraksta vielas klātbūtni, kuras koncentrācija izstrādājumā̄ un jebkurā tā detaļā/sastāvdaļā pārsniedz 0,1 % (masas). (REACH kandidātu saraksts: īpaši bīstamu kandidātu saraksta vielu saraksts licencēšanai, kas publicēts saskaņā̄ ar Ķimikāliju reģistrēšanas, vērtēšanas, licencēšanas un ierobežošanas (REACH) regulas 59.panta 10.punktu: </w:t>
            </w:r>
            <w:hyperlink r:id="rId8" w:history="1">
              <w:r w:rsidRPr="004A1D98">
                <w:rPr>
                  <w:rFonts w:ascii="Times New Roman" w:eastAsia="Times New Roman" w:hAnsi="Times New Roman" w:cs="Times New Roman"/>
                  <w:color w:val="40407C"/>
                  <w:sz w:val="28"/>
                  <w:szCs w:val="28"/>
                  <w:lang w:val="lv-LV" w:eastAsia="lv-LV"/>
                </w:rPr>
                <w:t>https://echa.europa.eu/lv/candidate-list-table</w:t>
              </w:r>
            </w:hyperlink>
            <w:r w:rsidRPr="004A1D98">
              <w:rPr>
                <w:rFonts w:ascii="Times New Roman" w:eastAsia="Times New Roman" w:hAnsi="Times New Roman" w:cs="Times New Roman"/>
                <w:color w:val="000000"/>
                <w:sz w:val="28"/>
                <w:szCs w:val="28"/>
                <w:lang w:val="lv-LV" w:eastAsia="lv-LV"/>
              </w:rPr>
              <w:t xml:space="preserve"> )</w:t>
            </w:r>
          </w:p>
          <w:p w14:paraId="0E226EDA"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5. PIEMĒROTĪBA IZMANTOŠANAI</w:t>
            </w:r>
          </w:p>
          <w:p w14:paraId="5A034BE7" w14:textId="77777777" w:rsidR="000D67AB" w:rsidRPr="004A1D98" w:rsidRDefault="000D67AB" w:rsidP="00426910">
            <w:pPr>
              <w:shd w:val="clear" w:color="auto" w:fill="FFFFFF"/>
              <w:spacing w:before="120" w:beforeAutospacing="1" w:after="120" w:afterAutospacing="1"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Mēbeļu izstrādājums atbilst šādu attiecīgu EN standartu jaunākajās versijās izklāstītajām prasībām, kas var attiekties uz izstrādājuma ilgizturību, izmēriem, drošumu un stiprību, atsaucoties uz 1.pielikuma vai citos avotos minētajiem standartiem.</w:t>
            </w:r>
          </w:p>
          <w:p w14:paraId="4B83CB4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i/>
                <w:iCs/>
                <w:sz w:val="28"/>
                <w:szCs w:val="28"/>
                <w:lang w:val="lv-LV" w:eastAsia="en-GB"/>
              </w:rPr>
              <w:t>(Pasūtītājam jānorāda atsauce uz konkrētajiem standartiem, kas visvairāk atbilst iepērkamajai mēbelei).</w:t>
            </w:r>
          </w:p>
          <w:p w14:paraId="1A1A9EB7"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6. DEMONTĒJAMA UN REMONTĒJAMA KONSTRUKCIJA</w:t>
            </w:r>
          </w:p>
          <w:p w14:paraId="0A479B3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Pretendents nodrošina skaidras demontāžas un remonta instrukcijas (piem., drukātu vai elektronisku eksemplāru, video), lai mēbeļu izstrādājumu varētu nesalaužot demontēt detaļu/sastāvdaļu nomaiņas nolūkā. Nodrošina instrukciju instrukcijas izdruku, ko piegādā kopā ar izstrādājumu, un/vai elektronisku eksemplāru ražotāja tīmekļa vietnē. Demontāžas un nomaiņas operācijām jābūt tādām, lai tās varētu veikt nekvalificēts darbaspēks ar parastiem un vienkāršiem rokas darbarīkiem.</w:t>
            </w:r>
          </w:p>
          <w:p w14:paraId="781B34F2"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7. IZSTRĀDĀJUMA GARANTIJA UN REZERVES DAĻAS</w:t>
            </w:r>
          </w:p>
          <w:p w14:paraId="46CB142F"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Pretendents piešķir vismaz trīs gadu garantiju, kuras termiņš sākas izstrādājuma piegādes dienā/ pieņemšanas un nodošanas akta parakstīšanas dienā. Šī garantija attiecas uz remontu vai nomaiņu un ietver pakalpojumu līgumu ar izstrādājuma aizvešanas un atvešanas vai uz vietas veikta remonta iespēju. Garantijas ietvaros tiek nodrošināta preču atbilstība līguma specifikācijām bez papildu maksas.</w:t>
            </w:r>
          </w:p>
          <w:p w14:paraId="77D23B0B"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Pretendents garantē rezerves daļu vai tādu elementu pieejamību, kam ir ekvivalenta funkcija vismaz trīs gadus, sākot no mēbeļu izstrādājuma piegādes dienas/ pieņemšanas un nodošanas akta parakstīšanas dienas. Norāda kontaktinformāciju, kas izmantojama, lai organizētu rezerves daļu piegādi.</w:t>
            </w:r>
            <w:r w:rsidRPr="004A1D98">
              <w:rPr>
                <w:rFonts w:ascii="Times New Roman" w:eastAsia="Times New Roman" w:hAnsi="Times New Roman" w:cs="Times New Roman"/>
                <w:sz w:val="28"/>
                <w:szCs w:val="28"/>
                <w:lang w:val="lv-LV" w:eastAsia="ja-JP"/>
              </w:rPr>
              <w:t xml:space="preserve"> </w:t>
            </w:r>
          </w:p>
        </w:tc>
      </w:tr>
      <w:tr w:rsidR="000D67AB" w:rsidRPr="004A1D98" w14:paraId="3FF970C8" w14:textId="77777777" w:rsidTr="000A7815">
        <w:trPr>
          <w:trHeight w:val="552"/>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18824"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Piedāvājuma izvērtēšanas kritēriji</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0A93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8. FORMALDEHĪDA EMISIJAS NO KOKSNES MATERIĀLU PLĀTNĒM</w:t>
            </w:r>
          </w:p>
          <w:p w14:paraId="47A9730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Punktus piešķir tad, ja tiek pierādīts, ka mēbelē izmantoto visu koksnes materiālu plātņu formaldehīda emisijas līmenis nepārsniedz 65 % no E1 formaldehīda emisiju robežvērtībām, kas noteiktas piemērojamos standartos. </w:t>
            </w:r>
          </w:p>
          <w:p w14:paraId="4AAEECFF" w14:textId="77777777" w:rsidR="000D67AB" w:rsidRPr="004A1D98" w:rsidRDefault="000D67AB" w:rsidP="00426910">
            <w:pPr>
              <w:suppressAutoHyphens/>
              <w:autoSpaceDN w:val="0"/>
              <w:spacing w:before="120" w:after="120" w:line="264" w:lineRule="auto"/>
              <w:jc w:val="both"/>
              <w:textAlignment w:val="baseline"/>
              <w:rPr>
                <w:rFonts w:ascii="Times New Roman" w:eastAsia="Times New Roman" w:hAnsi="Times New Roman" w:cs="Times New Roman"/>
                <w:sz w:val="28"/>
                <w:szCs w:val="28"/>
                <w:lang w:val="lv-LV" w:eastAsia="ja-JP"/>
              </w:rPr>
            </w:pPr>
            <w:r w:rsidRPr="004A1D98">
              <w:rPr>
                <w:rFonts w:ascii="Times New Roman" w:eastAsia="Times New Roman" w:hAnsi="Times New Roman" w:cs="Times New Roman"/>
                <w:sz w:val="28"/>
                <w:szCs w:val="28"/>
                <w:lang w:val="lv-LV" w:eastAsia="ja-JP"/>
              </w:rPr>
              <w:t>9. VIDEI DRAUDZĪGA PIEGĀDE</w:t>
            </w:r>
          </w:p>
          <w:p w14:paraId="33C6CC7A" w14:textId="77777777" w:rsidR="000D67AB" w:rsidRPr="004A1D98" w:rsidRDefault="000D67AB" w:rsidP="00426910">
            <w:pPr>
              <w:suppressAutoHyphens/>
              <w:autoSpaceDN w:val="0"/>
              <w:spacing w:before="120" w:after="120" w:line="264" w:lineRule="auto"/>
              <w:jc w:val="both"/>
              <w:textAlignment w:val="baseline"/>
              <w:rPr>
                <w:rFonts w:ascii="Times New Roman" w:eastAsia="Times New Roman" w:hAnsi="Times New Roman" w:cs="Times New Roman"/>
                <w:sz w:val="28"/>
                <w:szCs w:val="28"/>
                <w:lang w:val="lv-LV" w:eastAsia="ja-JP"/>
              </w:rPr>
            </w:pPr>
            <w:r w:rsidRPr="004A1D98">
              <w:rPr>
                <w:rFonts w:ascii="Times New Roman" w:eastAsia="Times New Roman" w:hAnsi="Times New Roman" w:cs="Times New Roman"/>
                <w:sz w:val="28"/>
                <w:szCs w:val="28"/>
                <w:lang w:val="lv-LV" w:eastAsia="ja-JP"/>
              </w:rPr>
              <w:t xml:space="preserve">Papildus punkti tiks piešķirti par tādu piegādi, kas tiks veikta noteiktā pasūtītāja paredzēta attāluma ietvaros no ražošanas vietas līdz pasūtītāja norādītajai vietai, lai maksimāli samazināt CO2 izmešus piegādes procesā (piemēram, 250 km ietvaros). </w:t>
            </w:r>
          </w:p>
          <w:p w14:paraId="6C9F35F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10. APRITES EKONOMIKAS PLĀNS</w:t>
            </w:r>
          </w:p>
          <w:p w14:paraId="32E72AAA"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Pretendentam jāiesniedz plāns, kas ietver sekojošas daļas:</w:t>
            </w:r>
          </w:p>
          <w:p w14:paraId="695C8A0E" w14:textId="77777777" w:rsidR="000D67AB" w:rsidRPr="004A1D98" w:rsidRDefault="000D67AB" w:rsidP="00AB1BBF">
            <w:pPr>
              <w:numPr>
                <w:ilvl w:val="0"/>
                <w:numId w:val="63"/>
              </w:numPr>
              <w:spacing w:before="120" w:beforeAutospacing="1" w:after="100" w:afterAutospacing="1" w:line="264" w:lineRule="auto"/>
              <w:ind w:left="0"/>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konkrēts redzējums turpmākai darbībai; </w:t>
            </w:r>
          </w:p>
          <w:p w14:paraId="1E29342C" w14:textId="77777777" w:rsidR="000D67AB" w:rsidRPr="004A1D98" w:rsidRDefault="000D67AB" w:rsidP="00AB1BBF">
            <w:pPr>
              <w:numPr>
                <w:ilvl w:val="0"/>
                <w:numId w:val="63"/>
              </w:numPr>
              <w:spacing w:before="120" w:beforeAutospacing="1" w:after="100" w:afterAutospacing="1" w:line="264" w:lineRule="auto"/>
              <w:ind w:left="0"/>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attīstība saskaņā aprites ekonomikas principiem līguma laikā;</w:t>
            </w:r>
          </w:p>
          <w:p w14:paraId="2DC343D8" w14:textId="77777777" w:rsidR="000D67AB" w:rsidRPr="004A1D98" w:rsidRDefault="000D67AB" w:rsidP="00AB1BBF">
            <w:pPr>
              <w:numPr>
                <w:ilvl w:val="0"/>
                <w:numId w:val="63"/>
              </w:numPr>
              <w:spacing w:before="120" w:beforeAutospacing="1" w:after="100" w:afterAutospacing="1" w:line="264" w:lineRule="auto"/>
              <w:ind w:left="0"/>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darba organizēšana un sadale līguma darbības laikā;</w:t>
            </w:r>
          </w:p>
          <w:p w14:paraId="370E705D" w14:textId="77777777" w:rsidR="000D67AB" w:rsidRPr="004A1D98" w:rsidRDefault="000D67AB" w:rsidP="00AB1BBF">
            <w:pPr>
              <w:numPr>
                <w:ilvl w:val="0"/>
                <w:numId w:val="63"/>
              </w:numPr>
              <w:spacing w:before="120" w:beforeAutospacing="1" w:after="120" w:afterAutospacing="1" w:line="264" w:lineRule="auto"/>
              <w:ind w:left="0"/>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rPr>
              <w:t>pretendentam / piegādātājam paredzētās lomas un atbildība.</w:t>
            </w:r>
          </w:p>
        </w:tc>
      </w:tr>
    </w:tbl>
    <w:p w14:paraId="5F68900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 </w:t>
      </w:r>
    </w:p>
    <w:p w14:paraId="70581622" w14:textId="77777777" w:rsidR="00F43C74" w:rsidRPr="004A1D98" w:rsidRDefault="00F43C74"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496B5C66" w14:textId="21D3E7FF"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8</w:t>
      </w:r>
      <w:r w:rsidR="000D67AB" w:rsidRPr="004A1D98">
        <w:rPr>
          <w:rFonts w:ascii="Times New Roman" w:eastAsia="MS Gothic" w:hAnsi="Times New Roman" w:cs="Times New Roman"/>
          <w:b/>
          <w:bCs/>
          <w:color w:val="000000"/>
          <w:sz w:val="28"/>
          <w:szCs w:val="28"/>
          <w:lang w:val="lv-LV" w:eastAsia="lv-LV"/>
        </w:rPr>
        <w:t>. Notekūdeņu infrastruktūra</w:t>
      </w:r>
    </w:p>
    <w:p w14:paraId="36C4A3CD" w14:textId="77777777" w:rsidR="000D67AB" w:rsidRPr="004A1D98" w:rsidRDefault="000D67AB" w:rsidP="00426910">
      <w:pPr>
        <w:widowControl w:val="0"/>
        <w:autoSpaceDE w:val="0"/>
        <w:spacing w:before="120" w:after="120" w:line="276" w:lineRule="auto"/>
        <w:ind w:firstLine="720"/>
        <w:jc w:val="both"/>
        <w:rPr>
          <w:rFonts w:ascii="Times New Roman" w:eastAsia="Times New Roman" w:hAnsi="Times New Roman" w:cs="Times New Roman"/>
          <w:color w:val="000000"/>
          <w:sz w:val="28"/>
          <w:szCs w:val="28"/>
          <w:lang w:val="lv-LV" w:eastAsia="lv-LV"/>
        </w:rPr>
      </w:pPr>
    </w:p>
    <w:p w14:paraId="30CCB4C8" w14:textId="77777777" w:rsidR="000D67AB" w:rsidRPr="004A1D98" w:rsidRDefault="000D67AB" w:rsidP="00426910">
      <w:pPr>
        <w:widowControl w:val="0"/>
        <w:autoSpaceDE w:val="0"/>
        <w:spacing w:before="120" w:after="120" w:line="276" w:lineRule="auto"/>
        <w:ind w:firstLine="720"/>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Šajā sadaļā ietvertās ZPI prasības un kritēriji ir izmantojami brīvprātīgi un tie neliedz publiskā sektora iestādēm izmantot valsts vai pašu izstrādātas pieejas attiecībā uz notekūdeņu infrastruktūras ZPI. Jāņem arī vērā, ka šīs prasības un kritēriji nekādā gadījumā neaizstāj valsts tiesību aktus un spēkā esošos valsts un starptautiskos standartus.</w:t>
      </w:r>
    </w:p>
    <w:p w14:paraId="3840372C" w14:textId="77777777" w:rsidR="000D67AB" w:rsidRPr="004A1D98" w:rsidRDefault="000D67AB" w:rsidP="00426910">
      <w:pPr>
        <w:widowControl w:val="0"/>
        <w:autoSpaceDE w:val="0"/>
        <w:spacing w:before="120" w:after="120" w:line="276" w:lineRule="auto"/>
        <w:ind w:firstLine="720"/>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Notekūdeņu infrastruktūras iepirkums ir sarežģīts process. Vairumā gadījumu, lai pasūtītājs, kas organizē iepirkumu, varētu uzņemties visu iepirkuma procesu no priekšizpētes līdz piegādātāju galīgajai atlasei, tai būs vajadzīgs tehniskā atbalsta personāls ar īpašām zināšanām inženiertehnoloģiju, vides un ekonomikas jomā. </w:t>
      </w:r>
    </w:p>
    <w:p w14:paraId="129156A6" w14:textId="77777777" w:rsidR="000D67AB" w:rsidRPr="004A1D98" w:rsidRDefault="000D67AB" w:rsidP="00426910">
      <w:pPr>
        <w:spacing w:after="0" w:line="276" w:lineRule="auto"/>
        <w:ind w:firstLine="720"/>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ZPI prasības un kritēriji attiecas uz kanalizācijas tīklu, notekūdeņu attīrīšanas iekārtu un dūņu apstrādes iekārtu plānošanu, projektēšanu, būvniecību, ekspluatāciju un ekspluatācijas pārtraukšanu.</w:t>
      </w:r>
    </w:p>
    <w:p w14:paraId="6CB5D29A" w14:textId="77777777" w:rsidR="000D67AB" w:rsidRPr="004A1D98" w:rsidRDefault="000D67AB" w:rsidP="00426910">
      <w:pPr>
        <w:widowControl w:val="0"/>
        <w:autoSpaceDE w:val="0"/>
        <w:spacing w:before="120" w:after="120" w:line="276" w:lineRule="auto"/>
        <w:ind w:firstLine="720"/>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i/>
          <w:color w:val="000000"/>
          <w:sz w:val="28"/>
          <w:szCs w:val="28"/>
          <w:lang w:val="lv-LV" w:eastAsia="lv-LV"/>
        </w:rPr>
        <w:t>Piezīme. </w:t>
      </w:r>
      <w:r w:rsidRPr="004A1D98">
        <w:rPr>
          <w:rFonts w:ascii="Times New Roman" w:eastAsia="Times New Roman" w:hAnsi="Times New Roman" w:cs="Times New Roman"/>
          <w:color w:val="000000"/>
          <w:sz w:val="28"/>
          <w:szCs w:val="28"/>
          <w:lang w:val="lv-LV" w:eastAsia="lv-LV"/>
        </w:rPr>
        <w:t xml:space="preserve">Lai pienācīgi sagatavotos šādam iepirkumam, vēlams iepazīties arī ar Eiropas Komisijas pasūtītā pētījuma rezultātiem, kas izklāstīti ziņojumā "Videi nekaitīga publiskā iepirkuma kritēriji notekūdeņu infrastruktūrai". Ziņojums tulkots arī latviešu valodā un pieejams lejuplādei Eiropas Komisijas ZPI tīmekļvietnē. </w:t>
      </w:r>
    </w:p>
    <w:p w14:paraId="165D55E9" w14:textId="5977DA82"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8</w:t>
      </w:r>
      <w:r w:rsidR="000D67AB" w:rsidRPr="004A1D98">
        <w:rPr>
          <w:rFonts w:ascii="Times New Roman" w:eastAsia="MS Gothic" w:hAnsi="Times New Roman" w:cs="Times New Roman"/>
          <w:b/>
          <w:bCs/>
          <w:color w:val="000000"/>
          <w:sz w:val="28"/>
          <w:szCs w:val="28"/>
          <w:lang w:val="lv-LV" w:eastAsia="lv-LV"/>
        </w:rPr>
        <w:t>.1. ZPI prasības un kritēriji notekūdeņu infrastruktūrai</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1C5BB5EE"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5B577C8"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DC0E69B"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3CF035C4"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B6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6FDB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Videi nekaitīgas notekūdeņu infrastruktūras publiskais iepirkums.</w:t>
            </w:r>
          </w:p>
        </w:tc>
      </w:tr>
    </w:tbl>
    <w:p w14:paraId="664B6356"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p>
    <w:p w14:paraId="752ED0DA" w14:textId="660681E5" w:rsidR="000D67AB" w:rsidRPr="004A1D98" w:rsidRDefault="00364E97" w:rsidP="00426910">
      <w:pPr>
        <w:spacing w:after="0" w:line="240" w:lineRule="auto"/>
        <w:jc w:val="center"/>
        <w:rPr>
          <w:rFonts w:ascii="Times New Roman" w:eastAsia="Times New Roman" w:hAnsi="Times New Roman" w:cs="Times New Roman"/>
          <w:b/>
          <w:color w:val="000000"/>
          <w:sz w:val="28"/>
          <w:szCs w:val="28"/>
          <w:lang w:val="lv-LV" w:eastAsia="lv-LV"/>
        </w:rPr>
      </w:pPr>
      <w:r>
        <w:rPr>
          <w:rFonts w:ascii="Times New Roman" w:eastAsia="Times New Roman" w:hAnsi="Times New Roman" w:cs="Times New Roman"/>
          <w:b/>
          <w:color w:val="000000"/>
          <w:sz w:val="28"/>
          <w:szCs w:val="28"/>
          <w:lang w:val="lv-LV" w:eastAsia="lv-LV"/>
        </w:rPr>
        <w:t>8</w:t>
      </w:r>
      <w:r w:rsidR="000D67AB" w:rsidRPr="004A1D98">
        <w:rPr>
          <w:rFonts w:ascii="Times New Roman" w:eastAsia="Times New Roman" w:hAnsi="Times New Roman" w:cs="Times New Roman"/>
          <w:b/>
          <w:color w:val="000000"/>
          <w:sz w:val="28"/>
          <w:szCs w:val="28"/>
          <w:lang w:val="lv-LV" w:eastAsia="lv-LV"/>
        </w:rPr>
        <w:t>.1.1. ZPI prasības un kritēriji konsultatīvajiem pakalpojumiem</w:t>
      </w:r>
    </w:p>
    <w:tbl>
      <w:tblPr>
        <w:tblW w:w="8472" w:type="dxa"/>
        <w:tblCellMar>
          <w:left w:w="10" w:type="dxa"/>
          <w:right w:w="10" w:type="dxa"/>
        </w:tblCellMar>
        <w:tblLook w:val="04A0" w:firstRow="1" w:lastRow="0" w:firstColumn="1" w:lastColumn="0" w:noHBand="0" w:noVBand="1"/>
      </w:tblPr>
      <w:tblGrid>
        <w:gridCol w:w="3227"/>
        <w:gridCol w:w="5245"/>
      </w:tblGrid>
      <w:tr w:rsidR="000D67AB" w:rsidRPr="004A1D98" w14:paraId="7894359C"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00F29A4"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52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0BD4888"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17C8791F"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9A85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B208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šādu kritēriju izpildi. </w:t>
            </w:r>
          </w:p>
          <w:p w14:paraId="08BC244E"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PIEEJA</w:t>
            </w:r>
          </w:p>
          <w:p w14:paraId="34C97378"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Piegādātājam ir jāapraksta, kā kopumā plāno īstenot projektu, lai sasniegtu tā mērķus, jo īpaši aprakstot, kā  izprot projekta vides aspektus, piemēram, tiesisko regulējumu vides jomā, vietējos vides apstākļus, ietekmes uz vidi novērtējumu u. c.</w:t>
            </w:r>
          </w:p>
          <w:p w14:paraId="2F5F8B3D"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
                <w:bCs/>
                <w:color w:val="000000"/>
                <w:sz w:val="28"/>
                <w:szCs w:val="28"/>
                <w:lang w:val="lv-LV"/>
              </w:rPr>
            </w:pPr>
            <w:r w:rsidRPr="004A1D98">
              <w:rPr>
                <w:rFonts w:ascii="Times New Roman" w:eastAsia="Times New Roman" w:hAnsi="Times New Roman" w:cs="Times New Roman"/>
                <w:b/>
                <w:bCs/>
                <w:color w:val="000000"/>
                <w:sz w:val="28"/>
                <w:szCs w:val="28"/>
                <w:lang w:val="lv-LV"/>
              </w:rPr>
              <w:t xml:space="preserve"> </w:t>
            </w:r>
            <w:r w:rsidRPr="004A1D98">
              <w:rPr>
                <w:rFonts w:ascii="Times New Roman" w:eastAsia="Times New Roman" w:hAnsi="Times New Roman" w:cs="Times New Roman"/>
                <w:bCs/>
                <w:color w:val="000000"/>
                <w:sz w:val="28"/>
                <w:szCs w:val="28"/>
                <w:lang w:val="lv-LV"/>
              </w:rPr>
              <w:t>2. METODIKA</w:t>
            </w:r>
          </w:p>
          <w:p w14:paraId="7F6D6DAC" w14:textId="77777777" w:rsidR="000D67AB" w:rsidRPr="004A1D98" w:rsidRDefault="000D67AB" w:rsidP="00426910">
            <w:pPr>
              <w:widowControl w:val="0"/>
              <w:tabs>
                <w:tab w:val="left" w:pos="220"/>
                <w:tab w:val="left" w:pos="720"/>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Piegādātājam ir jāapraksta konkrētās metodes, kas tiks izmantotas, lai:</w:t>
            </w:r>
          </w:p>
          <w:p w14:paraId="2415651F"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2.1. noteiktu alternatīvus risinājumus; </w:t>
            </w:r>
          </w:p>
          <w:p w14:paraId="63D51B45"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2.2. aplēstu alternatīvu finansiālās ACI; </w:t>
            </w:r>
          </w:p>
          <w:p w14:paraId="01840B13"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2.3. novērtētu ietekmi uz vidi, izmantojot ACA pieeju; </w:t>
            </w:r>
          </w:p>
          <w:p w14:paraId="41A985AF" w14:textId="77777777" w:rsidR="000D67AB" w:rsidRPr="004A1D98" w:rsidRDefault="000D67AB" w:rsidP="00426910">
            <w:pPr>
              <w:widowControl w:val="0"/>
              <w:tabs>
                <w:tab w:val="left" w:pos="176"/>
                <w:tab w:val="left" w:pos="2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2.4. savāktu datus par ietekmes uz vidi vienības izmaksām, kas tiks iekļautas ACI; </w:t>
            </w:r>
          </w:p>
          <w:p w14:paraId="1F7A63BE" w14:textId="77777777" w:rsidR="000D67AB" w:rsidRPr="004A1D98" w:rsidRDefault="000D67AB" w:rsidP="00426910">
            <w:pPr>
              <w:widowControl w:val="0"/>
              <w:tabs>
                <w:tab w:val="left" w:pos="2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2.5. salīdzinātu alternatīvas tehnoloģiskās iespējas/alternatīvas; </w:t>
            </w:r>
          </w:p>
          <w:p w14:paraId="355134CF"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3. ORGANIZĀCIJA UN DARBA GRUPA </w:t>
            </w:r>
          </w:p>
          <w:p w14:paraId="0763B94D" w14:textId="77777777" w:rsidR="000D67AB" w:rsidRPr="004A1D98" w:rsidRDefault="000D67AB" w:rsidP="00426910">
            <w:pPr>
              <w:widowControl w:val="0"/>
              <w:tabs>
                <w:tab w:val="left" w:pos="220"/>
                <w:tab w:val="left" w:pos="720"/>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Piegādātājam ir jāapraksta tās grupas organizācija, kvalifikācija un pieredze, kas sniegs pakalpojumus. </w:t>
            </w:r>
          </w:p>
        </w:tc>
      </w:tr>
    </w:tbl>
    <w:p w14:paraId="00DB4BF2"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77FD206F" w14:textId="22B211C6" w:rsidR="000D67AB" w:rsidRPr="004A1D98" w:rsidRDefault="00364E97" w:rsidP="00426910">
      <w:pPr>
        <w:spacing w:after="0" w:line="240" w:lineRule="auto"/>
        <w:jc w:val="center"/>
        <w:rPr>
          <w:rFonts w:ascii="Times New Roman" w:eastAsia="Times New Roman" w:hAnsi="Times New Roman" w:cs="Times New Roman"/>
          <w:color w:val="000000"/>
          <w:sz w:val="28"/>
          <w:szCs w:val="28"/>
          <w:lang w:val="lv-LV" w:eastAsia="lv-LV"/>
        </w:rPr>
      </w:pPr>
      <w:r>
        <w:rPr>
          <w:rFonts w:ascii="Times New Roman" w:eastAsia="Times New Roman" w:hAnsi="Times New Roman" w:cs="Times New Roman"/>
          <w:b/>
          <w:color w:val="000000"/>
          <w:sz w:val="28"/>
          <w:szCs w:val="28"/>
          <w:lang w:val="lv-LV" w:eastAsia="lv-LV"/>
        </w:rPr>
        <w:t>8</w:t>
      </w:r>
      <w:r w:rsidR="000D67AB" w:rsidRPr="004A1D98">
        <w:rPr>
          <w:rFonts w:ascii="Times New Roman" w:eastAsia="Times New Roman" w:hAnsi="Times New Roman" w:cs="Times New Roman"/>
          <w:b/>
          <w:color w:val="000000"/>
          <w:sz w:val="28"/>
          <w:szCs w:val="28"/>
          <w:lang w:val="lv-LV" w:eastAsia="lv-LV"/>
        </w:rPr>
        <w:t>.1.2. ZPI prasības un kritēriji būvniecības līgumam</w:t>
      </w:r>
    </w:p>
    <w:tbl>
      <w:tblPr>
        <w:tblW w:w="8472" w:type="dxa"/>
        <w:tblLayout w:type="fixed"/>
        <w:tblCellMar>
          <w:left w:w="10" w:type="dxa"/>
          <w:right w:w="10" w:type="dxa"/>
        </w:tblCellMar>
        <w:tblLook w:val="04A0" w:firstRow="1" w:lastRow="0" w:firstColumn="1" w:lastColumn="0" w:noHBand="0" w:noVBand="1"/>
      </w:tblPr>
      <w:tblGrid>
        <w:gridCol w:w="3227"/>
        <w:gridCol w:w="5245"/>
      </w:tblGrid>
      <w:tr w:rsidR="000D67AB" w:rsidRPr="004A1D98" w14:paraId="406F2C19"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4D231E5"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52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ED0EF0A"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64DABB6C" w14:textId="77777777" w:rsidTr="000A7815">
        <w:trPr>
          <w:trHeight w:val="361"/>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3FB9048"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A. Piegādātāja izraudzīšanās</w:t>
            </w:r>
          </w:p>
        </w:tc>
      </w:tr>
      <w:tr w:rsidR="000D67AB" w:rsidRPr="004A1D98" w14:paraId="7AEB7DCD"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510F3" w14:textId="77777777" w:rsidR="000D67AB" w:rsidRPr="004A1D98" w:rsidRDefault="000D67AB" w:rsidP="00426910">
            <w:pPr>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817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punkti tiks piešķirti par šādu kritēriju izpildi. </w:t>
            </w:r>
          </w:p>
          <w:p w14:paraId="322FAE7E"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A2. VIDES PĀRVALDĪBAS PLĀNS</w:t>
            </w:r>
          </w:p>
          <w:p w14:paraId="6A45EF5D"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Piegādātājiem ir jāiesniedz vides pārvaldības plāna projekts, aprakstot savu izpratni par vides jautājumiem, kas radīsies būvniecības laikā, un to, kādā veidā tie tiks risināti. Plānā ir jāaplūko vismaz šādi jautājumi:</w:t>
            </w:r>
          </w:p>
          <w:p w14:paraId="17FCA997"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2.1. kādi materiāli tiks izmantoti, no kurienes tie tiks iegūti un kā tie tiks nogādāti un uzglabāti objektā; īpaša uzmanība jāpievērš darbam ar bīstamiem materiāliem;</w:t>
            </w:r>
          </w:p>
          <w:p w14:paraId="5302C16C"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2.2. enerģijas un ūdens izmantošana objektā; </w:t>
            </w:r>
          </w:p>
          <w:p w14:paraId="40C4F1D8"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2.3. atkritumu samazināšana un materiālu reģenerācija/ otrreizēja izmantošana. </w:t>
            </w:r>
          </w:p>
          <w:p w14:paraId="5E7EB93E" w14:textId="77777777" w:rsidR="008E4D43" w:rsidRPr="004A1D98" w:rsidRDefault="008E4D43"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p>
          <w:p w14:paraId="2BC33596" w14:textId="77777777" w:rsidR="008E4D43" w:rsidRPr="004A1D98" w:rsidRDefault="008E4D43"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p>
        </w:tc>
      </w:tr>
      <w:tr w:rsidR="000D67AB" w:rsidRPr="004A1D98" w14:paraId="1719ABF2" w14:textId="77777777" w:rsidTr="000A7815">
        <w:trPr>
          <w:trHeight w:val="552"/>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7461829"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B. Energoefektivitātes prasības</w:t>
            </w:r>
          </w:p>
        </w:tc>
      </w:tr>
      <w:tr w:rsidR="000D67AB" w:rsidRPr="004A1D98" w14:paraId="20E7B5E6"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62E9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6423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Notekūdeņu infrastruktūrai ir jāatbilst enerģijas patēriņa un efektivitātes prasībām saistībā ar visas notekūdeņu attīrīšanas iekārtas/infrastruktūras kopējo enerģijas patēriņu.</w:t>
            </w:r>
          </w:p>
          <w:p w14:paraId="72779012"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B1. ENERĢIJAS PATĒRIŅŠ </w:t>
            </w:r>
          </w:p>
          <w:p w14:paraId="6FDEFD0B" w14:textId="77777777" w:rsidR="000D67AB" w:rsidRPr="004A1D98" w:rsidRDefault="000D67AB" w:rsidP="00426910">
            <w:pPr>
              <w:widowControl w:val="0"/>
              <w:autoSpaceDE w:val="0"/>
              <w:spacing w:after="24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Notekūdeņu infrastruktūras objekta kopējais enerģijas pieprasījums nav augstāks par noteikto līmeni (indikatīvās vērtības un attiecīgos apsvērumus šā līmeņa noteikšanai skatīt tālāk minētajā paskaidrojumā):</w:t>
            </w:r>
          </w:p>
          <w:p w14:paraId="589E8E99" w14:textId="77777777" w:rsidR="000D67AB" w:rsidRPr="004A1D98" w:rsidRDefault="000D67AB" w:rsidP="00AB1BBF">
            <w:pPr>
              <w:widowControl w:val="0"/>
              <w:numPr>
                <w:ilvl w:val="1"/>
                <w:numId w:val="45"/>
              </w:numPr>
              <w:suppressAutoHyphens/>
              <w:autoSpaceDE w:val="0"/>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mērvienība notekūdeņu attīrīšanas iekārtai: kWh/CE vai kWh/attīrīto notekūdeņu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w:t>
            </w:r>
          </w:p>
          <w:p w14:paraId="55D16A4F" w14:textId="77777777" w:rsidR="000D67AB" w:rsidRPr="004A1D98" w:rsidRDefault="000D67AB" w:rsidP="00AB1BBF">
            <w:pPr>
              <w:widowControl w:val="0"/>
              <w:numPr>
                <w:ilvl w:val="1"/>
                <w:numId w:val="45"/>
              </w:numPr>
              <w:suppressAutoHyphens/>
              <w:autoSpaceDE w:val="0"/>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mērvienība kanalizācijas sistēmai: kWh/pārvadīto notekūdeņu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w:t>
            </w:r>
          </w:p>
          <w:p w14:paraId="5DE833A9" w14:textId="77777777" w:rsidR="000D67AB" w:rsidRPr="004A1D98" w:rsidRDefault="000D67AB" w:rsidP="00AB1BBF">
            <w:pPr>
              <w:widowControl w:val="0"/>
              <w:numPr>
                <w:ilvl w:val="1"/>
                <w:numId w:val="45"/>
              </w:numPr>
              <w:suppressAutoHyphens/>
              <w:autoSpaceDE w:val="0"/>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mērvienība dūņu apstrādes iekārtai: kWh/dūņu tonnu vai kWh/dūņu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w:t>
            </w:r>
          </w:p>
          <w:p w14:paraId="3012C7DE" w14:textId="77777777" w:rsidR="000D67AB" w:rsidRPr="004A1D98" w:rsidRDefault="000D67AB" w:rsidP="00426910">
            <w:pPr>
              <w:widowControl w:val="0"/>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5B8A5195"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B2. APMĀCĪBA PAR ENERGOEFEKTIVITĀTI</w:t>
            </w:r>
          </w:p>
          <w:p w14:paraId="6468BB56"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Pirms iekārtas palaišanas ekspluatācijā attiecīgajiem darbiniekiem, ieskaitot tos, kuri strādā ar tehnoloģisko aprīkojumu, ir jāiziet būvdarbu veicēja nodrošināta apmācība par piegādātās iekārtas vai aprīkojuma (atkarībā no līguma veida) energoefektivitātes pārvaldību. Apmācībā ir jāietver skaidrojums par vispārējo enerģijas patēriņa vadīšanu un uzraudzību un to, kā uzlabot energoefektivitāti, lai vajadzīgajiem procesiem pastāvīgi nodrošinātu minimālu enerģijas patēriņu.</w:t>
            </w:r>
          </w:p>
        </w:tc>
      </w:tr>
      <w:tr w:rsidR="000D67AB" w:rsidRPr="004A1D98" w14:paraId="1D227442"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A025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95A09"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B3. ENERĢIJAS MAZĀKS PATĒRIŅŠ </w:t>
            </w:r>
          </w:p>
          <w:p w14:paraId="0E19E84B"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punkti tiks piešķirti par zemāku enerģijas patēriņu nekā noteikts tehniskajās specifikācijās, pamatojoties uz visa notekūdeņu infrastruktūras objekta kopējo enerģijas pieprasījumu.</w:t>
            </w:r>
          </w:p>
          <w:p w14:paraId="12F1405E" w14:textId="77777777" w:rsidR="00564C46" w:rsidRPr="004A1D98" w:rsidRDefault="00564C46"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p>
          <w:p w14:paraId="4C3F15B0" w14:textId="77777777" w:rsidR="00564C46" w:rsidRPr="004A1D98" w:rsidRDefault="00564C46"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p>
          <w:p w14:paraId="7A800A92" w14:textId="77777777" w:rsidR="00564C46" w:rsidRPr="004A1D98" w:rsidRDefault="00564C46"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p>
        </w:tc>
      </w:tr>
      <w:tr w:rsidR="000D67AB" w:rsidRPr="004A1D98" w14:paraId="4D23FD26" w14:textId="77777777" w:rsidTr="000A7815">
        <w:trPr>
          <w:trHeight w:val="552"/>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DD2CD2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C. Ūdens patēriņš</w:t>
            </w:r>
          </w:p>
          <w:p w14:paraId="2B14844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Piezīme</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Times New Roman" w:hAnsi="Times New Roman" w:cs="Times New Roman"/>
                <w:color w:val="000000"/>
                <w:sz w:val="28"/>
                <w:szCs w:val="28"/>
                <w:lang w:val="lv-LV" w:eastAsia="ja-JP"/>
              </w:rPr>
              <w:t>Pasūtītājs izvērtē šī kritērija nepieciešamību.</w:t>
            </w:r>
          </w:p>
        </w:tc>
      </w:tr>
      <w:tr w:rsidR="000D67AB" w:rsidRPr="004A1D98" w14:paraId="5E00B0DE"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374B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18F7D"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C1. DZERAMĀ ŪDENS PATĒRIŅŠ</w:t>
            </w:r>
          </w:p>
          <w:p w14:paraId="463A5D64" w14:textId="77777777" w:rsidR="000D67AB" w:rsidRPr="004A1D98" w:rsidRDefault="000D67AB" w:rsidP="00426910">
            <w:pPr>
              <w:widowControl w:val="0"/>
              <w:autoSpaceDE w:val="0"/>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Notekūdeņu infrastruktūras objektu kopējais dzeramā ūdens patēriņš (izņemot ūdens patēriņu biroju/administratīvajās ēkās), kas norādīts iepirkuma procedūras dokumentācijā, nepārsniedz šādu līmeni:</w:t>
            </w:r>
          </w:p>
          <w:p w14:paraId="481D9AE5" w14:textId="77777777" w:rsidR="000D67AB" w:rsidRPr="004A1D98" w:rsidRDefault="000D67AB" w:rsidP="00AB1BBF">
            <w:pPr>
              <w:widowControl w:val="0"/>
              <w:numPr>
                <w:ilvl w:val="1"/>
                <w:numId w:val="46"/>
              </w:numPr>
              <w:tabs>
                <w:tab w:val="left" w:pos="176"/>
                <w:tab w:val="left" w:pos="220"/>
              </w:tabs>
              <w:suppressAutoHyphens/>
              <w:autoSpaceDE w:val="0"/>
              <w:autoSpaceDN w:val="0"/>
              <w:spacing w:before="120" w:after="120" w:line="240" w:lineRule="auto"/>
              <w:ind w:left="0" w:firstLine="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notekūdeņu attīrīšanas iekārtas: x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izmantotā ūdens uz 1000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attīrīto notekūdeņu; </w:t>
            </w:r>
          </w:p>
          <w:p w14:paraId="32CC2DAA" w14:textId="77777777" w:rsidR="000D67AB" w:rsidRPr="004A1D98" w:rsidRDefault="000D67AB" w:rsidP="00AB1BBF">
            <w:pPr>
              <w:widowControl w:val="0"/>
              <w:numPr>
                <w:ilvl w:val="1"/>
                <w:numId w:val="46"/>
              </w:numPr>
              <w:tabs>
                <w:tab w:val="left" w:pos="176"/>
                <w:tab w:val="left" w:pos="220"/>
              </w:tabs>
              <w:suppressAutoHyphens/>
              <w:autoSpaceDE w:val="0"/>
              <w:autoSpaceDN w:val="0"/>
              <w:spacing w:before="120" w:after="120" w:line="240" w:lineRule="auto"/>
              <w:ind w:left="0" w:firstLine="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kanalizācijas sistēmas — ierīkoto cauruļu tīrīšana: x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izmantotā ūdens uz ierīkoto cauruļu 100 m.</w:t>
            </w:r>
          </w:p>
        </w:tc>
      </w:tr>
      <w:tr w:rsidR="000D67AB" w:rsidRPr="004A1D98" w14:paraId="55C2BAB7"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E13E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D99C5"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C2. DZERAMĀ ŪDENS MAZĀKS PATĒRIŅŠ</w:t>
            </w:r>
          </w:p>
          <w:p w14:paraId="5D20FE25"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punkti tiks piešķirti par ūdens taupīšanas pasākumiem, kas pārsniedz iepriekš minētās specifikācijas, kuras iepirkuma procedūras dokumentācijā iekļautas attiecībā uz kritērijiem.</w:t>
            </w:r>
          </w:p>
        </w:tc>
      </w:tr>
      <w:tr w:rsidR="000D67AB" w:rsidRPr="004A1D98" w14:paraId="538265E1" w14:textId="77777777" w:rsidTr="000A7815">
        <w:trPr>
          <w:trHeight w:val="552"/>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A81E03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D. Notekūdeņu attīrīšanas efektivitāte</w:t>
            </w:r>
          </w:p>
        </w:tc>
      </w:tr>
      <w:tr w:rsidR="000D67AB" w:rsidRPr="004A1D98" w14:paraId="79C58C36"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B5DC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96A7F" w14:textId="77777777" w:rsidR="000D67AB" w:rsidRPr="004A1D98" w:rsidRDefault="000D67AB" w:rsidP="00426910">
            <w:pPr>
              <w:widowControl w:val="0"/>
              <w:autoSpaceDE w:val="0"/>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Cs/>
                <w:color w:val="000000"/>
                <w:sz w:val="28"/>
                <w:szCs w:val="28"/>
                <w:lang w:val="lv-LV"/>
              </w:rPr>
              <w:t>D1. NOTEKŪDEŅU ATTĪRĪŠANAS STANDARTU PRASĪBU IEVĒROŠANA</w:t>
            </w:r>
          </w:p>
          <w:p w14:paraId="2D973D64"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Notekūdeņu attīrīšanas iekārtas ekspluatētājam ir jāievēro </w:t>
            </w:r>
            <w:r w:rsidRPr="004A1D98">
              <w:rPr>
                <w:rFonts w:ascii="Times New Roman" w:eastAsia="Times New Roman" w:hAnsi="Times New Roman" w:cs="Times New Roman"/>
                <w:bCs/>
                <w:color w:val="000000"/>
                <w:sz w:val="28"/>
                <w:szCs w:val="28"/>
                <w:lang w:val="lv-LV" w:eastAsia="lv-LV"/>
              </w:rPr>
              <w:t xml:space="preserve">Ministru kabineta </w:t>
            </w:r>
            <w:r w:rsidRPr="004A1D98">
              <w:rPr>
                <w:rFonts w:ascii="Times New Roman" w:eastAsia="Times New Roman" w:hAnsi="Times New Roman" w:cs="Times New Roman"/>
                <w:color w:val="000000"/>
                <w:sz w:val="28"/>
                <w:szCs w:val="28"/>
                <w:lang w:val="lv-LV" w:eastAsia="lv-LV"/>
              </w:rPr>
              <w:t xml:space="preserve">2002. gada 22. janvāra </w:t>
            </w:r>
            <w:r w:rsidRPr="004A1D98">
              <w:rPr>
                <w:rFonts w:ascii="Times New Roman" w:eastAsia="Times New Roman" w:hAnsi="Times New Roman" w:cs="Times New Roman"/>
                <w:bCs/>
                <w:color w:val="000000"/>
                <w:sz w:val="28"/>
                <w:szCs w:val="28"/>
                <w:lang w:val="lv-LV" w:eastAsia="lv-LV"/>
              </w:rPr>
              <w:t>noteikumos Nr. 34</w:t>
            </w:r>
            <w:r w:rsidRPr="004A1D98">
              <w:rPr>
                <w:rFonts w:ascii="Times New Roman" w:eastAsia="Times New Roman" w:hAnsi="Times New Roman" w:cs="Times New Roman"/>
                <w:color w:val="000000"/>
                <w:sz w:val="28"/>
                <w:szCs w:val="28"/>
                <w:lang w:val="lv-LV" w:eastAsia="lv-LV"/>
              </w:rPr>
              <w:t xml:space="preserve">  </w:t>
            </w:r>
            <w:r w:rsidRPr="004A1D98">
              <w:rPr>
                <w:rFonts w:ascii="Times New Roman" w:eastAsia="Times New Roman" w:hAnsi="Times New Roman" w:cs="Times New Roman"/>
                <w:bCs/>
                <w:color w:val="000000"/>
                <w:sz w:val="28"/>
                <w:szCs w:val="28"/>
                <w:lang w:val="lv-LV" w:eastAsia="lv-LV"/>
              </w:rPr>
              <w:t>"Noteikumi par piesārņojošo vielu emisiju ūdenī</w:t>
            </w:r>
            <w:r w:rsidRPr="004A1D98">
              <w:rPr>
                <w:rFonts w:ascii="Times New Roman" w:eastAsia="Times New Roman" w:hAnsi="Times New Roman" w:cs="Times New Roman"/>
                <w:color w:val="000000"/>
                <w:sz w:val="28"/>
                <w:szCs w:val="28"/>
                <w:lang w:val="lv-LV" w:eastAsia="lv-LV"/>
              </w:rPr>
              <w:t>" noteiktie notekūdeņu attīrīšanas standarti.</w:t>
            </w:r>
          </w:p>
          <w:p w14:paraId="1E1AE219"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Notekūdeņu attīrīšanas standarti ir šādi:</w:t>
            </w:r>
          </w:p>
          <w:p w14:paraId="0860987A"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&lt;125 mg ĶSP/l, (ĶSP – ķīmiskais skābekļa patēriņš);</w:t>
            </w:r>
          </w:p>
          <w:p w14:paraId="7CC6270E"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&lt;25 mg BSP/l, (BSP – bioķīmiskais skābekļa patēriņš) ;</w:t>
            </w:r>
          </w:p>
          <w:p w14:paraId="58D540C4"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&lt;35 mg SD/l (SD – suspendētās daļīņas);</w:t>
            </w:r>
          </w:p>
          <w:p w14:paraId="082282A3"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&lt;15 mg kopējā slāpekļa/l (jutīgās zonas); </w:t>
            </w:r>
          </w:p>
          <w:p w14:paraId="2EFA5C1E"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&lt;2 mg kopējā fosfora/l (jutīgās zonas).</w:t>
            </w:r>
          </w:p>
          <w:p w14:paraId="55ACA784"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Notekūdeņu attīrīšanas standarti atšķiras atkarībā no atbildīgās ūdensapgādes iestādes, un dažām notekūdeņu attīrīšanas iekārtām normatīvajā regulējumā varētu būt noteiktas stingrākas iepriekš minēto parametru vērtības un/vai notekūdeņu attīrīšanas papildu standarti, piemēram, attiecībā uz patogēniem, smagajiem metāliem, organiskajām bīstamajām vielām u. c.</w:t>
            </w:r>
          </w:p>
          <w:p w14:paraId="5BA34AC5"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D2. PRASĪBAS ATTIECĪBĀ UZ MAKSIMĀLO ĶĪMISKO VIELU PATĒRIŅU</w:t>
            </w:r>
          </w:p>
          <w:p w14:paraId="22783CE9"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Nogulsnēšanā izmantoto ķīmisko vielu (parasti dzelzs vai alumīnija sāļi) g uz attīrīto notekūdeņu 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 xml:space="preserve"> vai nogulsnēšanā izmantoto ķīmisko vielu g uz kopējā fosfora kg ieplūdes vietā.</w:t>
            </w:r>
          </w:p>
        </w:tc>
      </w:tr>
      <w:tr w:rsidR="000D67AB" w:rsidRPr="004A1D98" w14:paraId="2CBF1BA2"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0DE1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F68A" w14:textId="77777777" w:rsidR="000D67AB" w:rsidRPr="004A1D98" w:rsidRDefault="000D67AB" w:rsidP="00426910">
            <w:pPr>
              <w:keepNext/>
              <w:keepLines/>
              <w:suppressAutoHyphens/>
              <w:autoSpaceDN w:val="0"/>
              <w:spacing w:before="120" w:after="120" w:line="240" w:lineRule="auto"/>
              <w:jc w:val="both"/>
              <w:textAlignment w:val="baseline"/>
              <w:outlineLvl w:val="2"/>
              <w:rPr>
                <w:rFonts w:ascii="Times New Roman" w:eastAsia="Times New Roman" w:hAnsi="Times New Roman" w:cs="Times New Roman"/>
                <w:b/>
                <w:bCs/>
                <w:color w:val="000000"/>
                <w:sz w:val="28"/>
                <w:szCs w:val="28"/>
                <w:lang w:val="lv-LV"/>
              </w:rPr>
            </w:pPr>
            <w:r w:rsidRPr="004A1D98">
              <w:rPr>
                <w:rFonts w:ascii="Times New Roman" w:eastAsia="Times New Roman" w:hAnsi="Times New Roman" w:cs="Times New Roman"/>
                <w:color w:val="000000"/>
                <w:sz w:val="28"/>
                <w:szCs w:val="28"/>
                <w:lang w:val="lv-LV"/>
              </w:rPr>
              <w:t>D3.</w:t>
            </w:r>
            <w:r w:rsidRPr="004A1D98">
              <w:rPr>
                <w:rFonts w:ascii="Times New Roman" w:eastAsia="Times New Roman" w:hAnsi="Times New Roman" w:cs="Times New Roman"/>
                <w:b/>
                <w:color w:val="000000"/>
                <w:sz w:val="28"/>
                <w:szCs w:val="28"/>
                <w:lang w:val="lv-LV"/>
              </w:rPr>
              <w:t> </w:t>
            </w:r>
            <w:r w:rsidRPr="004A1D98">
              <w:rPr>
                <w:rFonts w:ascii="Times New Roman" w:eastAsia="Times New Roman" w:hAnsi="Times New Roman" w:cs="Times New Roman"/>
                <w:bCs/>
                <w:color w:val="000000"/>
                <w:sz w:val="28"/>
                <w:szCs w:val="28"/>
                <w:lang w:val="lv-LV"/>
              </w:rPr>
              <w:t xml:space="preserve">AUGSTĀKA NOTEKŪDEŅU ATTĪRĪŠANAS EFEKTIVITĀTE </w:t>
            </w:r>
          </w:p>
          <w:p w14:paraId="3A22F256"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punkti tiks piešķirti par augstāku notekūdeņu attīrīšanas efektivitāti nekā noteikts tehniskajās specifikācijās.</w:t>
            </w:r>
          </w:p>
          <w:p w14:paraId="69B79DCA"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3.1.  Uzlabota attīrīšanas efektivitāte attiecībā uz BSP, kopējo slāpekli un kopējo fosforu</w:t>
            </w:r>
          </w:p>
          <w:p w14:paraId="442D3256"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Mērvienība:</w:t>
            </w:r>
          </w:p>
          <w:p w14:paraId="14F0F2EC"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&lt;xx mg BSP/l</w:t>
            </w:r>
          </w:p>
          <w:p w14:paraId="7AA40DDD"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&lt;xx mg kopējā slāpekļa/l</w:t>
            </w:r>
          </w:p>
          <w:p w14:paraId="02B4D817"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&lt;xx mg kopējā fosfora/l</w:t>
            </w:r>
          </w:p>
          <w:p w14:paraId="6ED2A71F"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3.2. Samazināta nogulsnētāja(-u) izmantošana uz atdalītā fosfora kg</w:t>
            </w:r>
          </w:p>
          <w:p w14:paraId="22623605"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Mērvienība: nogulsnēšanā izmantoto ķīmisko vielu (parasti dzelzs vai alumīnija sāļi) g uz attīrīto notekūdeņu 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 xml:space="preserve"> vai nogulsnēšanā izmantoto ķīmisko vielu g uz kopējā fosfora kg ieplūdes vietā.</w:t>
            </w:r>
          </w:p>
        </w:tc>
      </w:tr>
      <w:tr w:rsidR="000D67AB" w:rsidRPr="004A1D98" w14:paraId="578794AC" w14:textId="77777777" w:rsidTr="000A7815">
        <w:trPr>
          <w:trHeight w:val="552"/>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A93EA1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E. Dūmgāzu apstrādes efektivitāte</w:t>
            </w:r>
          </w:p>
        </w:tc>
      </w:tr>
      <w:tr w:rsidR="000D67AB" w:rsidRPr="004A1D98" w14:paraId="78ACB356"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F660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AB2D9"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E1. EMISIJAS STANDARTU IEVĒROŠANA</w:t>
            </w:r>
          </w:p>
          <w:p w14:paraId="6E0C1C86"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Dūņu sadedzināšanas iekārtai ir jāatbilst prasībām, kas noteiktas </w:t>
            </w:r>
            <w:r w:rsidRPr="004A1D98">
              <w:rPr>
                <w:rFonts w:ascii="Times New Roman" w:eastAsia="Times New Roman" w:hAnsi="Times New Roman" w:cs="Times New Roman"/>
                <w:bCs/>
                <w:color w:val="000000"/>
                <w:sz w:val="28"/>
                <w:szCs w:val="28"/>
                <w:lang w:val="lv-LV" w:eastAsia="lv-LV"/>
              </w:rPr>
              <w:t xml:space="preserve">Ministru kabineta </w:t>
            </w:r>
            <w:r w:rsidRPr="004A1D98">
              <w:rPr>
                <w:rFonts w:ascii="Times New Roman" w:eastAsia="Times New Roman" w:hAnsi="Times New Roman" w:cs="Times New Roman"/>
                <w:color w:val="000000"/>
                <w:sz w:val="28"/>
                <w:szCs w:val="28"/>
                <w:lang w:val="lv-LV" w:eastAsia="lv-LV"/>
              </w:rPr>
              <w:t xml:space="preserve">2011.gada 24.maija </w:t>
            </w:r>
            <w:r w:rsidRPr="004A1D98">
              <w:rPr>
                <w:rFonts w:ascii="Times New Roman" w:eastAsia="Times New Roman" w:hAnsi="Times New Roman" w:cs="Times New Roman"/>
                <w:bCs/>
                <w:color w:val="000000"/>
                <w:sz w:val="28"/>
                <w:szCs w:val="28"/>
                <w:lang w:val="lv-LV" w:eastAsia="lv-LV"/>
              </w:rPr>
              <w:t>noteikumos Nr.401</w:t>
            </w:r>
            <w:r w:rsidRPr="004A1D98">
              <w:rPr>
                <w:rFonts w:ascii="Times New Roman" w:eastAsia="Times New Roman" w:hAnsi="Times New Roman" w:cs="Times New Roman"/>
                <w:color w:val="000000"/>
                <w:sz w:val="28"/>
                <w:szCs w:val="28"/>
                <w:lang w:val="lv-LV" w:eastAsia="lv-LV"/>
              </w:rPr>
              <w:t xml:space="preserve"> "</w:t>
            </w:r>
            <w:r w:rsidRPr="004A1D98">
              <w:rPr>
                <w:rFonts w:ascii="Times New Roman" w:eastAsia="Times New Roman" w:hAnsi="Times New Roman" w:cs="Times New Roman"/>
                <w:bCs/>
                <w:color w:val="000000"/>
                <w:sz w:val="28"/>
                <w:szCs w:val="28"/>
                <w:lang w:val="lv-LV" w:eastAsia="lv-LV"/>
              </w:rPr>
              <w:t>Prasības atkritumu sadedzināšanai un atkritumu sadedzināšanas iekārtu darbībai"</w:t>
            </w:r>
            <w:r w:rsidRPr="004A1D98">
              <w:rPr>
                <w:rFonts w:ascii="Times New Roman" w:eastAsia="Times New Roman" w:hAnsi="Times New Roman" w:cs="Times New Roman"/>
                <w:b/>
                <w:bCs/>
                <w:color w:val="000000"/>
                <w:sz w:val="28"/>
                <w:szCs w:val="28"/>
                <w:lang w:val="lv-LV" w:eastAsia="lv-LV"/>
              </w:rPr>
              <w:t xml:space="preserve"> </w:t>
            </w:r>
            <w:r w:rsidRPr="004A1D98">
              <w:rPr>
                <w:rFonts w:ascii="Times New Roman" w:eastAsia="Times New Roman" w:hAnsi="Times New Roman" w:cs="Times New Roman"/>
                <w:color w:val="000000"/>
                <w:sz w:val="28"/>
                <w:szCs w:val="28"/>
                <w:lang w:val="lv-LV" w:eastAsia="lv-LV"/>
              </w:rPr>
              <w:t xml:space="preserve"> un 2006. gada augusta labāko pieejamo tehnisko paņēmienu (LPTP) dokumentā par atkritumu sadedzināšanu. </w:t>
            </w:r>
          </w:p>
          <w:p w14:paraId="61AF3DE2"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Tipiskie emisijas standarti (vidēji diennaktī) ir šādi:</w:t>
            </w:r>
          </w:p>
          <w:p w14:paraId="1AE5F506"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&lt;40 mg SO</w:t>
            </w:r>
            <w:r w:rsidRPr="004A1D98">
              <w:rPr>
                <w:rFonts w:ascii="Times New Roman" w:eastAsia="Times New Roman" w:hAnsi="Times New Roman" w:cs="Times New Roman"/>
                <w:color w:val="000000"/>
                <w:sz w:val="28"/>
                <w:szCs w:val="28"/>
                <w:vertAlign w:val="subscript"/>
                <w:lang w:val="lv-LV" w:eastAsia="lv-LV"/>
              </w:rPr>
              <w:t>2</w:t>
            </w:r>
            <w:r w:rsidRPr="004A1D98">
              <w:rPr>
                <w:rFonts w:ascii="Times New Roman" w:eastAsia="Times New Roman" w:hAnsi="Times New Roman" w:cs="Times New Roman"/>
                <w:color w:val="000000"/>
                <w:sz w:val="28"/>
                <w:szCs w:val="28"/>
                <w:lang w:val="lv-LV" w:eastAsia="lv-LV"/>
              </w:rPr>
              <w:t>/Nm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w:t>
            </w:r>
          </w:p>
          <w:p w14:paraId="02F5AC91"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&lt;100 mg NO</w:t>
            </w:r>
            <w:r w:rsidRPr="004A1D98">
              <w:rPr>
                <w:rFonts w:ascii="Times New Roman" w:eastAsia="Times New Roman" w:hAnsi="Times New Roman" w:cs="Times New Roman"/>
                <w:color w:val="000000"/>
                <w:sz w:val="28"/>
                <w:szCs w:val="28"/>
                <w:vertAlign w:val="subscript"/>
                <w:lang w:val="lv-LV" w:eastAsia="lv-LV"/>
              </w:rPr>
              <w:t>x</w:t>
            </w:r>
            <w:r w:rsidRPr="004A1D98">
              <w:rPr>
                <w:rFonts w:ascii="Times New Roman" w:eastAsia="Times New Roman" w:hAnsi="Times New Roman" w:cs="Times New Roman"/>
                <w:color w:val="000000"/>
                <w:sz w:val="28"/>
                <w:szCs w:val="28"/>
                <w:lang w:val="lv-LV" w:eastAsia="lv-LV"/>
              </w:rPr>
              <w:t>/ 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w:t>
            </w:r>
          </w:p>
          <w:p w14:paraId="25E9F1CC"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&lt;8 mg HCl/ 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w:t>
            </w:r>
          </w:p>
          <w:p w14:paraId="1AEDDEA7"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 &lt;5 mg putekļu/ 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w:t>
            </w:r>
          </w:p>
          <w:p w14:paraId="3283785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Dažām sadedzināšanas iekārtām normatīvajā regulējumā var piemērot stingrākas iepriekš minēto parametru vērtības un/vai papildu emisijas standartus, piemēram, dzīvsudrabam, PAO, kadmijam, cinkam u. c.</w:t>
            </w:r>
          </w:p>
        </w:tc>
      </w:tr>
      <w:tr w:rsidR="000D67AB" w:rsidRPr="004A1D98" w14:paraId="32C38E0A" w14:textId="77777777" w:rsidTr="000A7815">
        <w:trPr>
          <w:trHeight w:val="552"/>
        </w:trPr>
        <w:tc>
          <w:tcPr>
            <w:tcW w:w="3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8F59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5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335D2"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E2. ZEMĀKS EMISIJU LĪMENIS </w:t>
            </w:r>
          </w:p>
          <w:p w14:paraId="25546C18"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punktus var piešķirt apgriezti proporcionāli garantētajam SO</w:t>
            </w:r>
            <w:r w:rsidRPr="004A1D98">
              <w:rPr>
                <w:rFonts w:ascii="Times New Roman" w:eastAsia="Times New Roman" w:hAnsi="Times New Roman" w:cs="Times New Roman"/>
                <w:color w:val="000000"/>
                <w:sz w:val="28"/>
                <w:szCs w:val="28"/>
                <w:vertAlign w:val="subscript"/>
                <w:lang w:val="lv-LV" w:eastAsia="lv-LV"/>
              </w:rPr>
              <w:t>2</w:t>
            </w:r>
            <w:r w:rsidRPr="004A1D98">
              <w:rPr>
                <w:rFonts w:ascii="Times New Roman" w:eastAsia="Times New Roman" w:hAnsi="Times New Roman" w:cs="Times New Roman"/>
                <w:color w:val="000000"/>
                <w:sz w:val="28"/>
                <w:szCs w:val="28"/>
                <w:lang w:val="lv-LV" w:eastAsia="lv-LV"/>
              </w:rPr>
              <w:t>, NO</w:t>
            </w:r>
            <w:r w:rsidRPr="004A1D98">
              <w:rPr>
                <w:rFonts w:ascii="Times New Roman" w:eastAsia="Times New Roman" w:hAnsi="Times New Roman" w:cs="Times New Roman"/>
                <w:color w:val="000000"/>
                <w:sz w:val="28"/>
                <w:szCs w:val="28"/>
                <w:vertAlign w:val="subscript"/>
                <w:lang w:val="lv-LV" w:eastAsia="lv-LV"/>
              </w:rPr>
              <w:t>x</w:t>
            </w:r>
            <w:r w:rsidRPr="004A1D98">
              <w:rPr>
                <w:rFonts w:ascii="Times New Roman" w:eastAsia="Times New Roman" w:hAnsi="Times New Roman" w:cs="Times New Roman"/>
                <w:color w:val="000000"/>
                <w:sz w:val="28"/>
                <w:szCs w:val="28"/>
                <w:lang w:val="lv-LV" w:eastAsia="lv-LV"/>
              </w:rPr>
              <w:t>, HCl un putekļu (mg/Nm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 emisijas saturam, kas izteikts mg/Nm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position w:val="13"/>
                <w:sz w:val="28"/>
                <w:szCs w:val="28"/>
                <w:lang w:val="lv-LV" w:eastAsia="lv-LV"/>
              </w:rPr>
              <w:t xml:space="preserve"> </w:t>
            </w:r>
            <w:r w:rsidRPr="004A1D98">
              <w:rPr>
                <w:rFonts w:ascii="Times New Roman" w:eastAsia="Times New Roman" w:hAnsi="Times New Roman" w:cs="Times New Roman"/>
                <w:color w:val="000000"/>
                <w:sz w:val="28"/>
                <w:szCs w:val="28"/>
                <w:lang w:val="lv-LV" w:eastAsia="lv-LV"/>
              </w:rPr>
              <w:t>(piemēram, nulle punktus piešķir, ja saturs atbilst noteiktajiem emisijas standartiem, bet desmit punktus — ja tas ir 0 mg/Nm</w:t>
            </w:r>
            <w:r w:rsidRPr="004A1D98">
              <w:rPr>
                <w:rFonts w:ascii="Times New Roman" w:eastAsia="Times New Roman" w:hAnsi="Times New Roman" w:cs="Times New Roman"/>
                <w:color w:val="000000"/>
                <w:sz w:val="28"/>
                <w:szCs w:val="28"/>
                <w:vertAlign w:val="superscript"/>
                <w:lang w:val="lv-LV" w:eastAsia="lv-LV"/>
              </w:rPr>
              <w:t>3</w:t>
            </w:r>
            <w:r w:rsidRPr="004A1D98">
              <w:rPr>
                <w:rFonts w:ascii="Times New Roman" w:eastAsia="Times New Roman" w:hAnsi="Times New Roman" w:cs="Times New Roman"/>
                <w:color w:val="000000"/>
                <w:sz w:val="28"/>
                <w:szCs w:val="28"/>
                <w:lang w:val="lv-LV" w:eastAsia="lv-LV"/>
              </w:rPr>
              <w:t>).</w:t>
            </w:r>
          </w:p>
        </w:tc>
      </w:tr>
    </w:tbl>
    <w:p w14:paraId="132CEDC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tbl>
      <w:tblPr>
        <w:tblW w:w="8472" w:type="dxa"/>
        <w:tblCellMar>
          <w:left w:w="10" w:type="dxa"/>
          <w:right w:w="10" w:type="dxa"/>
        </w:tblCellMar>
        <w:tblLook w:val="04A0" w:firstRow="1" w:lastRow="0" w:firstColumn="1" w:lastColumn="0" w:noHBand="0" w:noVBand="1"/>
      </w:tblPr>
      <w:tblGrid>
        <w:gridCol w:w="3022"/>
        <w:gridCol w:w="5450"/>
      </w:tblGrid>
      <w:tr w:rsidR="000D67AB" w:rsidRPr="004A1D98" w14:paraId="12043C4E"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DA9A99B"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0DC6465"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līguma izpildes noteikumi</w:t>
            </w:r>
          </w:p>
        </w:tc>
      </w:tr>
      <w:tr w:rsidR="000D67AB" w:rsidRPr="004A1D98" w14:paraId="48DDDDB6" w14:textId="77777777" w:rsidTr="000A7815">
        <w:trPr>
          <w:trHeight w:val="98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A25F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0812E"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Līguma izpildes noteikumi  bieži vien ir vispārīgi, un tos papildina vides pārvaldības plānā (VPP) sīki izstrādātas prasības. VPP galvenie elementi parasti ir šādi:</w:t>
            </w:r>
          </w:p>
          <w:p w14:paraId="54C87782" w14:textId="77777777" w:rsidR="000D67AB" w:rsidRPr="004A1D98" w:rsidRDefault="000D67AB" w:rsidP="00AB1BBF">
            <w:pPr>
              <w:widowControl w:val="0"/>
              <w:numPr>
                <w:ilvl w:val="1"/>
                <w:numId w:val="47"/>
              </w:numPr>
              <w:tabs>
                <w:tab w:val="left" w:pos="176"/>
                <w:tab w:val="left" w:pos="220"/>
              </w:tabs>
              <w:suppressAutoHyphens/>
              <w:autoSpaceDE w:val="0"/>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u w:val="single"/>
                <w:lang w:val="lv-LV" w:eastAsia="ja-JP"/>
              </w:rPr>
              <w:t>noteiktie ietekmes uz vidi faktori un mērķi</w:t>
            </w:r>
            <w:r w:rsidRPr="004A1D98">
              <w:rPr>
                <w:rFonts w:ascii="Times New Roman" w:eastAsia="Times New Roman" w:hAnsi="Times New Roman" w:cs="Times New Roman"/>
                <w:color w:val="000000"/>
                <w:sz w:val="28"/>
                <w:szCs w:val="28"/>
                <w:lang w:val="lv-LV" w:eastAsia="ja-JP"/>
              </w:rPr>
              <w:t xml:space="preserve">, kas atkarībā no apstākļiem var atšķirties, bet kas būs norādīti IVN vai citos projekta plānošanas dokumentos. Ietekmes faktori/mērķi, kas ir raksturīgi vairumam būvniecības vai ekspluatācijas projektu, ir ūdens un enerģijas izmantošana, atjaunojamu/ atkārtoti izmantotu materiālu izmantošana, pārstrādātie/reģenerētie materiāli, ietekme uz floru un faunu, ietekme uz vietējo satiksmi un trokšņa/smaku emisija; </w:t>
            </w:r>
          </w:p>
          <w:p w14:paraId="299DA01A" w14:textId="77777777" w:rsidR="000D67AB" w:rsidRPr="004A1D98" w:rsidRDefault="000D67AB" w:rsidP="00AB1BBF">
            <w:pPr>
              <w:widowControl w:val="0"/>
              <w:numPr>
                <w:ilvl w:val="1"/>
                <w:numId w:val="47"/>
              </w:numPr>
              <w:tabs>
                <w:tab w:val="left" w:pos="176"/>
                <w:tab w:val="left" w:pos="220"/>
              </w:tabs>
              <w:suppressAutoHyphens/>
              <w:autoSpaceDE w:val="0"/>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u w:val="single"/>
                <w:lang w:val="lv-LV" w:eastAsia="ja-JP"/>
              </w:rPr>
              <w:t>izpildes pamatrādītāji</w:t>
            </w:r>
            <w:r w:rsidRPr="004A1D98">
              <w:rPr>
                <w:rFonts w:ascii="Times New Roman" w:eastAsia="Times New Roman" w:hAnsi="Times New Roman" w:cs="Times New Roman"/>
                <w:color w:val="000000"/>
                <w:sz w:val="28"/>
                <w:szCs w:val="28"/>
                <w:lang w:val="lv-LV" w:eastAsia="ja-JP"/>
              </w:rPr>
              <w:t xml:space="preserve">, kas noteikti ietekmes novērtēšanai. Par šo jautājumu ir pieejami dažādi metodiskie līdzekļi, un nākamajā tabulā ir sniegti ilustratīvi piemēri; </w:t>
            </w:r>
          </w:p>
          <w:p w14:paraId="1F13D22D" w14:textId="77777777" w:rsidR="000D67AB" w:rsidRPr="004A1D98" w:rsidRDefault="000D67AB" w:rsidP="00AB1BBF">
            <w:pPr>
              <w:widowControl w:val="0"/>
              <w:numPr>
                <w:ilvl w:val="1"/>
                <w:numId w:val="47"/>
              </w:numPr>
              <w:tabs>
                <w:tab w:val="left" w:pos="176"/>
              </w:tabs>
              <w:suppressAutoHyphens/>
              <w:autoSpaceDE w:val="0"/>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u w:val="single"/>
                <w:lang w:val="lv-LV" w:eastAsia="ja-JP"/>
              </w:rPr>
              <w:t>konkrētie izpildes līmeņi</w:t>
            </w:r>
            <w:r w:rsidRPr="004A1D98">
              <w:rPr>
                <w:rFonts w:ascii="Times New Roman" w:eastAsia="Times New Roman" w:hAnsi="Times New Roman" w:cs="Times New Roman"/>
                <w:color w:val="000000"/>
                <w:sz w:val="28"/>
                <w:szCs w:val="28"/>
                <w:lang w:val="lv-LV" w:eastAsia="ja-JP"/>
              </w:rPr>
              <w:t xml:space="preserve"> attiecībā uz šiem dažādajiem ietekmes faktoriem. </w:t>
            </w:r>
            <w:r w:rsidRPr="004A1D98">
              <w:rPr>
                <w:rFonts w:ascii="MS Mincho" w:eastAsia="MS Mincho" w:hAnsi="MS Mincho" w:cs="MS Mincho"/>
                <w:color w:val="000000"/>
                <w:sz w:val="28"/>
                <w:szCs w:val="28"/>
                <w:lang w:val="lv-LV" w:eastAsia="ja-JP"/>
              </w:rPr>
              <w:t> </w:t>
            </w:r>
            <w:r w:rsidRPr="004A1D98">
              <w:rPr>
                <w:rFonts w:ascii="Times New Roman" w:eastAsia="Times New Roman" w:hAnsi="Times New Roman" w:cs="Times New Roman"/>
                <w:color w:val="000000"/>
                <w:sz w:val="28"/>
                <w:szCs w:val="28"/>
                <w:lang w:val="lv-LV" w:eastAsia="ja-JP"/>
              </w:rPr>
              <w:t xml:space="preserve">Ir jābūt iespējai līgumu regulāri atjaunināt, lai ņemtu vērā vajadzību pēc augstākiem izpildes līmeņiem vai pat jaunus ietekmes uz vidi faktorus. Attiecībā uz ekspluatācijas līgumiem tas jebkurā gadījumā būs vajadzīgā vides pārvaldības plāna dabisks iznākums, nosakot aizvien augstākus mērķus privātajam ekspluatantam. </w:t>
            </w:r>
            <w:r w:rsidRPr="004A1D98">
              <w:rPr>
                <w:rFonts w:ascii="MS Mincho" w:eastAsia="MS Mincho" w:hAnsi="MS Mincho" w:cs="MS Mincho"/>
                <w:color w:val="000000"/>
                <w:sz w:val="28"/>
                <w:szCs w:val="28"/>
                <w:lang w:val="lv-LV" w:eastAsia="ja-JP"/>
              </w:rPr>
              <w:t> </w:t>
            </w:r>
            <w:r w:rsidRPr="004A1D98">
              <w:rPr>
                <w:rFonts w:ascii="Times New Roman" w:eastAsia="Times New Roman" w:hAnsi="Times New Roman" w:cs="Times New Roman"/>
                <w:color w:val="000000"/>
                <w:sz w:val="28"/>
                <w:szCs w:val="28"/>
                <w:lang w:val="lv-LV" w:eastAsia="ja-JP"/>
              </w:rPr>
              <w:t>Izpildes pamatrādītāju un izpildes līmeņu noteikšana, piemēram, attiecībā uz ūdens un enerģijas izmantošanu, var būt salīdzinoši vienkārša. Būtībā tā ir konkrēta patēriņa līmeņa noteikšana kvantitatīvā izteiksmē (piemēram, attiecībā uz enerģiju — kWh). Šajā tabulā ir parādīti to izpildes rādītāju veidi, kas attiecas gan uz būvniecības, gan ekspluatācijas posmu, un līmeņi, kas jāizmanto attiecībā uz mazāk uzskatāmiem ietekmes faktoriem.</w:t>
            </w:r>
          </w:p>
          <w:p w14:paraId="5672BBD3"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p>
          <w:tbl>
            <w:tblPr>
              <w:tblW w:w="4702" w:type="dxa"/>
              <w:tblInd w:w="34" w:type="dxa"/>
              <w:tblCellMar>
                <w:left w:w="10" w:type="dxa"/>
                <w:right w:w="10" w:type="dxa"/>
              </w:tblCellMar>
              <w:tblLook w:val="04A0" w:firstRow="1" w:lastRow="0" w:firstColumn="1" w:lastColumn="0" w:noHBand="0" w:noVBand="1"/>
            </w:tblPr>
            <w:tblGrid>
              <w:gridCol w:w="1289"/>
              <w:gridCol w:w="2099"/>
              <w:gridCol w:w="1802"/>
            </w:tblGrid>
            <w:tr w:rsidR="000D67AB" w:rsidRPr="004A1D98" w14:paraId="09718AF7" w14:textId="77777777" w:rsidTr="000A7815">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C5F54"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Ietekmes veids</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1CC8B"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Izpildes pamatrādītāji</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0BEB8"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Izpildes līmeņi</w:t>
                  </w:r>
                </w:p>
              </w:tc>
            </w:tr>
            <w:tr w:rsidR="000D67AB" w:rsidRPr="004A1D98" w14:paraId="7407EC1F" w14:textId="77777777" w:rsidTr="000A7815">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CB58"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Smaka</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1CFDB"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Iekārtā un ārpus tās nedrīkst rasties traucējoša smaka</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FB2B8"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Sērūdeņraža (H</w:t>
                  </w:r>
                  <w:r w:rsidRPr="004A1D98">
                    <w:rPr>
                      <w:rFonts w:ascii="Times New Roman" w:eastAsia="Times New Roman" w:hAnsi="Times New Roman" w:cs="Times New Roman"/>
                      <w:color w:val="000000"/>
                      <w:sz w:val="28"/>
                      <w:szCs w:val="28"/>
                      <w:vertAlign w:val="subscript"/>
                      <w:lang w:val="lv-LV" w:eastAsia="lv-LV"/>
                    </w:rPr>
                    <w:t>2</w:t>
                  </w:r>
                  <w:r w:rsidRPr="004A1D98">
                    <w:rPr>
                      <w:rFonts w:ascii="Times New Roman" w:eastAsia="Times New Roman" w:hAnsi="Times New Roman" w:cs="Times New Roman"/>
                      <w:color w:val="000000"/>
                      <w:sz w:val="28"/>
                      <w:szCs w:val="28"/>
                      <w:lang w:val="lv-LV" w:eastAsia="lv-LV"/>
                    </w:rPr>
                    <w:t>S) koncentrācijai pie objekta robežas ir jābūt mazākai par xx miljarddaļām, bet objekta teritorijā — mazākai par xx miljarddaļām</w:t>
                  </w:r>
                </w:p>
              </w:tc>
            </w:tr>
            <w:tr w:rsidR="000D67AB" w:rsidRPr="004A1D98" w14:paraId="656E1074" w14:textId="77777777" w:rsidTr="000A7815">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A52B3"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Troksnis</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439D88"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Maksimālais pieļaujamais trokšņa līmenis</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F31AB"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 dienu (8.00–20.00) — maksimāli xx dB(A) </w:t>
                  </w:r>
                </w:p>
                <w:p w14:paraId="592116A1"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 nakti (20.00–8.00) — maksimāli xx dB(A)</w:t>
                  </w:r>
                </w:p>
              </w:tc>
            </w:tr>
            <w:tr w:rsidR="000D67AB" w:rsidRPr="004A1D98" w14:paraId="1170AB1E" w14:textId="77777777" w:rsidTr="000A7815">
              <w:tc>
                <w:tcPr>
                  <w:tcW w:w="15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A2202"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Vietējā satiksme</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787D5"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Noteiktā periodā sastrēgumstundu laikā konstatētās procentuālās izmaiņas ceļu satiksmē, dodoties uz objektu un no tā</w:t>
                  </w:r>
                </w:p>
              </w:tc>
              <w:tc>
                <w:tcPr>
                  <w:tcW w:w="1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2DFCD" w14:textId="77777777" w:rsidR="000D67AB" w:rsidRPr="004A1D98" w:rsidRDefault="000D67AB" w:rsidP="00426910">
                  <w:pPr>
                    <w:widowControl w:val="0"/>
                    <w:tabs>
                      <w:tab w:val="left" w:pos="176"/>
                    </w:tabs>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Noteikts maksimālais satiksmes pieauguma procents</w:t>
                  </w:r>
                </w:p>
              </w:tc>
            </w:tr>
          </w:tbl>
          <w:p w14:paraId="2A616A1A" w14:textId="77777777" w:rsidR="000D67AB" w:rsidRPr="004A1D98" w:rsidRDefault="000D67AB" w:rsidP="00426910">
            <w:pPr>
              <w:widowControl w:val="0"/>
              <w:autoSpaceDE w:val="0"/>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2.1.Citās jomās, piemēram, atkritumu apsaimniekošanas jomā, ir plašākas iespējas izmantot dažādus izpildes rādītājus. Šajā saistībā VPP varētu ietvert, piemēram, šādus rādītājus:</w:t>
            </w:r>
          </w:p>
          <w:p w14:paraId="763036DE"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 xml:space="preserve">2.1.kopējais rādītājs — x tonnas atkritumu, kas ik gadu tiek saražoti ekspluatācijas laikā vai uz EUR 100 000 no būvdarbu vērtības, un saražotā atkritumu daudzuma samazināšana par x procentiem noteiktā periodā (norāda gadu skaitu); </w:t>
            </w:r>
          </w:p>
          <w:p w14:paraId="32B5D12B"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 xml:space="preserve">2.2.ne vairāk kā x tonnas atkritumu tiek nogādāti poligonā, un vismaz x tonnas atkritumu tiek pārstrādāti vai atkārtoti izmantoti; </w:t>
            </w:r>
          </w:p>
          <w:p w14:paraId="04263578" w14:textId="77777777" w:rsidR="000D67AB" w:rsidRPr="004A1D98" w:rsidRDefault="000D67AB" w:rsidP="00426910">
            <w:pPr>
              <w:widowControl w:val="0"/>
              <w:tabs>
                <w:tab w:val="left" w:pos="-1220"/>
                <w:tab w:val="left" w:pos="-720"/>
              </w:tabs>
              <w:suppressAutoHyphens/>
              <w:autoSpaceDE w:val="0"/>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 xml:space="preserve">2.3.vismaz x procenti no būvniecībā/ekspluatācijā izmantotajiem materiāliem ir iegūti no pārstrādātiem vai atkārtoti izmantotiem materiāliem. </w:t>
            </w:r>
          </w:p>
        </w:tc>
      </w:tr>
    </w:tbl>
    <w:p w14:paraId="028F73E6"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545DFDCB"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34DE3A47" w14:textId="24609BC5"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9</w:t>
      </w:r>
      <w:r w:rsidR="000D67AB" w:rsidRPr="004A1D98">
        <w:rPr>
          <w:rFonts w:ascii="Times New Roman" w:eastAsia="MS Gothic" w:hAnsi="Times New Roman" w:cs="Times New Roman"/>
          <w:b/>
          <w:bCs/>
          <w:color w:val="000000"/>
          <w:sz w:val="28"/>
          <w:szCs w:val="28"/>
          <w:lang w:val="lv-LV" w:eastAsia="lv-LV"/>
        </w:rPr>
        <w:t>.  Sienu paneļi</w:t>
      </w:r>
    </w:p>
    <w:p w14:paraId="4C6E84FE" w14:textId="77777777" w:rsidR="000D67AB" w:rsidRPr="004A1D98" w:rsidRDefault="000D67AB" w:rsidP="00426910">
      <w:pPr>
        <w:spacing w:after="0" w:line="240" w:lineRule="auto"/>
        <w:rPr>
          <w:rFonts w:ascii="Times New Roman" w:eastAsia="Times New Roman" w:hAnsi="Times New Roman" w:cs="Times New Roman"/>
          <w:sz w:val="28"/>
          <w:szCs w:val="28"/>
          <w:lang w:val="lv-LV" w:eastAsia="lv-LV"/>
        </w:rPr>
      </w:pPr>
    </w:p>
    <w:p w14:paraId="46F0DDE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Sienu paneļi ir plātnes, ko izmanto vertikālā vai leņķveida novietojumā (piemēram, pārveidojot augšstāvus) ēkā, kur pats panelis nav nesošais elements un tā virsma nav galīgā virsma, ko redz pabeigtā ēkā, t. i., tā tiks apmesta, slīpēta, nokrāsota, aplīmēta ar tapetēm utt. </w:t>
      </w:r>
    </w:p>
    <w:p w14:paraId="217D309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t xml:space="preserve">Uzmanība pievērsta galvenokārt diviem atšķirīgiem sienu paneļu materiāliem, jo abi minētie materiāli pārstāv gandrīz visu sienu paneļu tirgu. Tās ir ģipškartona plātnes un koksnes plātņu materiāli. Abi materiāli ir apskatīti kā atsevišķas vienības, jo, lai gan to izmantojums pārklājas, atšķiras gan to sastāvs, gan arī standarti, kam obligāti jāatbilst attiecīgajiem materiāliem. </w:t>
      </w:r>
    </w:p>
    <w:p w14:paraId="5ABE1CF8" w14:textId="294488F1" w:rsidR="000D67AB" w:rsidRPr="004A1D98" w:rsidRDefault="00364E97"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9</w:t>
      </w:r>
      <w:r w:rsidR="000D67AB" w:rsidRPr="004A1D98">
        <w:rPr>
          <w:rFonts w:ascii="Times New Roman" w:eastAsia="MS Gothic" w:hAnsi="Times New Roman" w:cs="Times New Roman"/>
          <w:b/>
          <w:bCs/>
          <w:color w:val="000000"/>
          <w:sz w:val="28"/>
          <w:szCs w:val="28"/>
          <w:lang w:val="lv-LV" w:eastAsia="lv-LV"/>
        </w:rPr>
        <w:t>.1. ZPI prasības un kritēriji no ģipškartona plātnēm izgatavotiem sienu paneļiem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68FA1921"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A6A498F"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A94C944"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38ED3B45"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3089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E5204"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Videi nekaitīgu sienu paneļu iepirkums. </w:t>
            </w:r>
          </w:p>
        </w:tc>
      </w:tr>
      <w:tr w:rsidR="000D67AB" w:rsidRPr="004A1D98" w14:paraId="762E199C"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79B6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1E0B7"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PRASĪBAS PAPĪRAM, KURU IZMANTO ĢIPŠKARTONA PLĀTŅU RAŽOŠANĀ</w:t>
            </w:r>
          </w:p>
          <w:p w14:paraId="7A76909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Papīram, ko izmanto ģipškartona plātņu ražošanā, jābūt no:</w:t>
            </w:r>
          </w:p>
          <w:p w14:paraId="3195DC9B" w14:textId="77777777" w:rsidR="000D67AB" w:rsidRPr="004A1D98" w:rsidRDefault="000D67AB" w:rsidP="00AB1BBF">
            <w:pPr>
              <w:numPr>
                <w:ilvl w:val="1"/>
                <w:numId w:val="48"/>
              </w:numPr>
              <w:tabs>
                <w:tab w:val="left" w:pos="885"/>
              </w:tabs>
              <w:suppressAutoHyphens/>
              <w:autoSpaceDN w:val="0"/>
              <w:spacing w:before="120" w:after="120" w:line="240" w:lineRule="auto"/>
              <w:ind w:left="0"/>
              <w:textAlignment w:val="baseline"/>
              <w:rPr>
                <w:rFonts w:ascii="Times New Roman" w:eastAsia="MS Gothic"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100 procenti pārstrādāta koka/papīra un/vai</w:t>
            </w:r>
          </w:p>
          <w:p w14:paraId="5D3CE19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1.2. papīra, kas ražots no koka, kokšķiedrām vai kokskaidām, kuras iegūtas likumīgā mežizstrādē. </w:t>
            </w:r>
          </w:p>
          <w:p w14:paraId="03A6B83F"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PĀRSTRĀDĀTĀ ĢIPŠA DAĻA ĢIPŠKARTONA PLĀTNĒS</w:t>
            </w:r>
          </w:p>
          <w:p w14:paraId="2DF6F55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Vismaz 2 procenti ģipša satura jābūt no pārstrādātām ģipškartona plātnēm (pēc svara, pamatojoties uz vidējo apjomu gadā, neieskaitot ģipsi no </w:t>
            </w:r>
            <w:r w:rsidRPr="004A1D98">
              <w:rPr>
                <w:rFonts w:ascii="Times New Roman" w:eastAsia="Times New Roman" w:hAnsi="Times New Roman" w:cs="Times New Roman"/>
                <w:i/>
                <w:iCs/>
                <w:color w:val="000000"/>
                <w:sz w:val="28"/>
                <w:szCs w:val="28"/>
                <w:lang w:val="lv-LV" w:eastAsia="ja-JP"/>
              </w:rPr>
              <w:t xml:space="preserve">FGD </w:t>
            </w:r>
            <w:r w:rsidRPr="004A1D98">
              <w:rPr>
                <w:rFonts w:ascii="Times New Roman" w:eastAsia="Times New Roman" w:hAnsi="Times New Roman" w:cs="Times New Roman"/>
                <w:color w:val="000000"/>
                <w:sz w:val="28"/>
                <w:szCs w:val="28"/>
                <w:lang w:val="lv-LV" w:eastAsia="ja-JP"/>
              </w:rPr>
              <w:t xml:space="preserve">(dūmgāzu desulfurizācijas) objektiem). Ja ir iespējamas lielākas procentuālās daļas, atlasē tām jādod priekšroka. </w:t>
            </w:r>
          </w:p>
        </w:tc>
      </w:tr>
      <w:tr w:rsidR="000D67AB" w:rsidRPr="004A1D98" w14:paraId="10ECD4D4"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9792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A5E6E"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punktus piešķirs par turpmāk minēto kritēriju izpildi:</w:t>
            </w:r>
          </w:p>
          <w:p w14:paraId="09958CD0"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LIELĀKA PĀRSTRĀDĀTĀ ĢIPŠA DAĻA ĢIPŠKARTONA PLĀTNĒS</w:t>
            </w:r>
          </w:p>
          <w:p w14:paraId="4947BBC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Proporcionāli palielinātajai pārstrādāta ģipša daļai iepirktajās ģipškartona plātnēs. </w:t>
            </w:r>
          </w:p>
          <w:p w14:paraId="5FFBFF03"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ILGTSPĒJĪGAS MEŽSAIMNIECĪBAS AVOTI </w:t>
            </w:r>
          </w:p>
          <w:p w14:paraId="6172ECA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Ģipškartona plātņu ražošanā izmantotais papīrs ir izgatavots no koka, kokšķiedrām vai kokskaidām, kas iegūtas ilgtspējīgi apsaimniekotos mežos, kuros īstenoti principi un pasākumi ar mērķi nodrošināt mežu ilgtspējīgu un likumīgu apsaimniekošanu, ja minētie kritēriji raksturo izstrādājumu un ir tam būtiski. </w:t>
            </w:r>
          </w:p>
        </w:tc>
      </w:tr>
      <w:tr w:rsidR="000D67AB" w:rsidRPr="004A1D98" w14:paraId="17A5A70C"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D718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A1253"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INFORMĀCIJA PAR SIENU PANEĻU PĀRKLĀJUMU</w:t>
            </w:r>
          </w:p>
          <w:p w14:paraId="0ECDEDC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Jābūt pieejamai informācijai par sienu paneļu pārklājuma materiāliem, piemēram, krāsu tipiem, kas nekavēs ģipškartona plātņu pārstrādi vai novirzīšanu ekspluatācijas laika beigās. </w:t>
            </w:r>
          </w:p>
          <w:p w14:paraId="0D275C76"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LIETOŠANAS INSTRUKCIJA</w:t>
            </w:r>
          </w:p>
          <w:p w14:paraId="3A12CFB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Izstrādājumam jāpievieno vai arī uz iepakojuma vai etiķetes jānorāda attiecīga un pieņemama informācija lietotājiem par rīkošanos ar izstrādājumu, uzstādīšanu, virsmas apstrādes paņēmieniem, pārstrādes un/vai apglabāšanas metodēm.</w:t>
            </w:r>
          </w:p>
          <w:p w14:paraId="7EB6954F"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3. ATKRITUMU APSAIMNIEKOŠANA</w:t>
            </w:r>
          </w:p>
          <w:p w14:paraId="3D8AFA0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Piegādātājam jāpierāda, ka uzstādot sienu paneļus, tiek īstenota efektīvu politika un procedūras, lai nodrošinātu, ka uzstādīšanas laikā radušies atkritumi, t. i., atlikumi, atgriezumi, bojātās plātnes utt., tiek pienācīgi apstrādāti ilgtspējīgā veidā , piemēram, ja iespējams, ar atbilstošu savākšanas shēmu starpniecību tiek reģenerēti, pārstrādāti vai novirzīti no atkritumu poligona. </w:t>
            </w:r>
          </w:p>
        </w:tc>
      </w:tr>
    </w:tbl>
    <w:p w14:paraId="4906310E"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b/>
          <w:bCs/>
          <w:color w:val="000000"/>
          <w:sz w:val="28"/>
          <w:szCs w:val="28"/>
          <w:lang w:val="lv-LV" w:eastAsia="ja-JP"/>
        </w:rPr>
      </w:pPr>
    </w:p>
    <w:p w14:paraId="0D94BAAF" w14:textId="45465E1E" w:rsidR="000D67AB" w:rsidRPr="004A1D98" w:rsidRDefault="00364E97" w:rsidP="00967686">
      <w:pPr>
        <w:keepNext/>
        <w:keepLines/>
        <w:spacing w:before="480" w:after="0" w:line="240" w:lineRule="auto"/>
        <w:outlineLvl w:val="0"/>
        <w:rPr>
          <w:rFonts w:ascii="Times New Roman" w:eastAsia="MS Gothic" w:hAnsi="Times New Roman" w:cs="Times New Roman"/>
          <w:b/>
          <w:bCs/>
          <w:color w:val="000000"/>
          <w:sz w:val="28"/>
          <w:szCs w:val="28"/>
          <w:lang w:val="lv-LV" w:eastAsia="lv-LV"/>
        </w:rPr>
      </w:pPr>
      <w:r>
        <w:rPr>
          <w:rFonts w:ascii="Times New Roman" w:eastAsia="MS Gothic" w:hAnsi="Times New Roman" w:cs="Times New Roman"/>
          <w:b/>
          <w:bCs/>
          <w:color w:val="000000"/>
          <w:sz w:val="28"/>
          <w:szCs w:val="28"/>
          <w:lang w:val="lv-LV" w:eastAsia="lv-LV"/>
        </w:rPr>
        <w:t>9</w:t>
      </w:r>
      <w:r w:rsidR="000D67AB" w:rsidRPr="004A1D98">
        <w:rPr>
          <w:rFonts w:ascii="Times New Roman" w:eastAsia="MS Gothic" w:hAnsi="Times New Roman" w:cs="Times New Roman"/>
          <w:b/>
          <w:bCs/>
          <w:color w:val="000000"/>
          <w:sz w:val="28"/>
          <w:szCs w:val="28"/>
          <w:lang w:val="lv-LV" w:eastAsia="lv-LV"/>
        </w:rPr>
        <w:t>.2. ZPI prasības un kritēriji no koksnes plātņu materiāliem izgatavotiem sienu paneļiem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357F3509"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DCA81D3"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CE3429B"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224B9F83"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2768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923B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Videi nekaitīgu sienu paneļu iepirkums.</w:t>
            </w:r>
          </w:p>
        </w:tc>
      </w:tr>
      <w:tr w:rsidR="000D67AB" w:rsidRPr="004A1D98" w14:paraId="0046EF45"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3266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428A6"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PRASĪBAS KOKMATERIĀLIEM </w:t>
            </w:r>
          </w:p>
          <w:p w14:paraId="62A83C8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Izmantotajiem neapstrādātajiem kokmateriāliem jābūt iegūtiem no likumīgiem avotiem. </w:t>
            </w:r>
          </w:p>
          <w:p w14:paraId="6B26C0CF"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FORMALDEHĪDA SATURS </w:t>
            </w:r>
          </w:p>
          <w:p w14:paraId="48BFC72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Koksnes plātņu materiāli, kuros izmantotas formaldehīdu saturošas saistvielas, nedrīkst pārsniegt piemērojamo standartu prasībām, proti, 0,13 mg/m</w:t>
            </w:r>
            <w:r w:rsidRPr="004A1D98">
              <w:rPr>
                <w:rFonts w:ascii="Times New Roman" w:eastAsia="Times New Roman" w:hAnsi="Times New Roman" w:cs="Times New Roman"/>
                <w:color w:val="000000"/>
                <w:sz w:val="28"/>
                <w:szCs w:val="28"/>
                <w:vertAlign w:val="superscript"/>
                <w:lang w:val="lv-LV" w:eastAsia="ja-JP"/>
              </w:rPr>
              <w:t xml:space="preserve">3 </w:t>
            </w:r>
            <w:r w:rsidRPr="004A1D98">
              <w:rPr>
                <w:rFonts w:ascii="Times New Roman" w:eastAsia="Times New Roman" w:hAnsi="Times New Roman" w:cs="Times New Roman"/>
                <w:color w:val="000000"/>
                <w:sz w:val="28"/>
                <w:szCs w:val="28"/>
                <w:lang w:val="lv-LV" w:eastAsia="ja-JP"/>
              </w:rPr>
              <w:t xml:space="preserve">gaisa (jeb 0,1 ppm). Tas attiecas arī uz plātnēm ar pārklājumu un plātņu gruntēšanu. </w:t>
            </w:r>
          </w:p>
        </w:tc>
      </w:tr>
      <w:tr w:rsidR="000D67AB" w:rsidRPr="004A1D98" w14:paraId="562317FC"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5D8F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1970F" w14:textId="77777777" w:rsidR="000D67AB" w:rsidRPr="004A1D98" w:rsidRDefault="000D67AB" w:rsidP="00426910">
            <w:pPr>
              <w:shd w:val="clear" w:color="auto" w:fill="FFFFFF"/>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piešķirs par turpmāk minēto kritēriju izpildi. </w:t>
            </w:r>
          </w:p>
          <w:p w14:paraId="54BCF111"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PĀRSTRĀDĀTAS VAI ATKĀRTOTI IZMANTOTAS KOKSNES PROCENTUĀLĀ DAĻA </w:t>
            </w:r>
          </w:p>
          <w:p w14:paraId="6F78F21D" w14:textId="77777777" w:rsidR="000D67AB" w:rsidRPr="004A1D98" w:rsidRDefault="000D67AB" w:rsidP="00426910">
            <w:pPr>
              <w:shd w:val="clear" w:color="auto" w:fill="FFFFFF"/>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Papildu punkti tiks piešķirti proporcionāli pārstrādātās (otrreiz izmantotās) koksnes daļai procentos.</w:t>
            </w:r>
          </w:p>
          <w:p w14:paraId="0DED33AE"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ILGTSPĒJĪGI MEŽSAIMNIECĪBAS AVOTI </w:t>
            </w:r>
          </w:p>
          <w:p w14:paraId="5FE4587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Gala izstrādājums ir izgatavots no koka, kokšķiedrām vai kokskaidām, kas iegūtas ilgtspējīgi apsaimniekotos mežos, kuros īstenoti principi un pasākumi ar mērķi nodrošināt mežu ilgtspējīgu un likumīgu apsaimniekošanu, ja minētie kritēriji raksturo izstrādājumu un ir tam būtiski. </w:t>
            </w:r>
          </w:p>
        </w:tc>
      </w:tr>
      <w:tr w:rsidR="000D67AB" w:rsidRPr="004A1D98" w14:paraId="04EBC827"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C0C5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15D3D"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1. INFORMĀCIJA PAR SIENU PANEĻU PĀRKLĀJUMU</w:t>
            </w:r>
          </w:p>
          <w:p w14:paraId="0D72B08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Jābūt pieejamai informācijai par sienu paneļu pārklājuma materiāliem, piemēram, krāsu tipiem, kas nekavēs koksnes plātņu materiālu pārstrādi vai novirzīšanu ekspluatācijas laika beigās </w:t>
            </w:r>
          </w:p>
          <w:p w14:paraId="03EAC379"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LIETOŠANAS INSTRUKCIJA</w:t>
            </w:r>
          </w:p>
          <w:p w14:paraId="6059B4A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Izstrādājumam jāpievieno vai arī uz iepakojuma vai etiķetes jānorāda attiecīga un pieņemama informācija lietotājiem par rīkošanos ar izstrādājumu, uzstādīšanu, virsmas apstrādes paņēmieniem, pārstrādes un/vai apglabāšanas metodēm. </w:t>
            </w:r>
          </w:p>
          <w:p w14:paraId="6C7521C5"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3. ATKRITUMU APSAIMNIEKOŠANA</w:t>
            </w:r>
          </w:p>
          <w:p w14:paraId="649D62F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Piegādātājam jāpierāda, ka ka  uzstādot sienu paneļus, tiek īstenota efektīva politika un procedūras, lai nodrošinātu, ka uzstādīšanas laikā radušies atkritumi tiek pienācīgi apstrādāti ilgtspējīgā veidā, piemēram, ja iespējams, tiek pārstrādāti vai novirzīti no atkritumu poligona. </w:t>
            </w:r>
          </w:p>
        </w:tc>
      </w:tr>
    </w:tbl>
    <w:p w14:paraId="646A28C7"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57AB455D" w14:textId="37957333"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364E97">
        <w:rPr>
          <w:rFonts w:ascii="Times New Roman" w:eastAsia="MS Gothic" w:hAnsi="Times New Roman" w:cs="Times New Roman"/>
          <w:b/>
          <w:bCs/>
          <w:color w:val="000000"/>
          <w:sz w:val="28"/>
          <w:szCs w:val="28"/>
          <w:lang w:val="lv-LV" w:eastAsia="lv-LV"/>
        </w:rPr>
        <w:t>0</w:t>
      </w:r>
      <w:r w:rsidRPr="004A1D98">
        <w:rPr>
          <w:rFonts w:ascii="Times New Roman" w:eastAsia="MS Gothic" w:hAnsi="Times New Roman" w:cs="Times New Roman"/>
          <w:b/>
          <w:bCs/>
          <w:color w:val="000000"/>
          <w:sz w:val="28"/>
          <w:szCs w:val="28"/>
          <w:lang w:val="lv-LV" w:eastAsia="lv-LV"/>
        </w:rPr>
        <w:t xml:space="preserve">. Izlietnes krāni, dušas uzgaļi un to aprīkojums </w:t>
      </w:r>
    </w:p>
    <w:p w14:paraId="6090F04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b/>
      </w:r>
    </w:p>
    <w:p w14:paraId="335EB86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Prasības un kritēriji attiecas uz izlietnes krāniem, dušas uzgaļiem un to aprīkojumu, ko parasti izmanto tādās publiskās ēkās kā skolās, biroju ēkās, slimnīcās, peldbaseinos, sporta centros, un citu armatūru, kas paredzēta abu veidu – gan nemājsaimniecību, gan mājsaimniecību – funkciju izpildei. Izlietnes krānu, dušas uzgaļu un to aprīkojuma kritēriji attiecināmi uz šādām produktu grupām: </w:t>
      </w:r>
    </w:p>
    <w:p w14:paraId="67BB4118" w14:textId="77777777" w:rsidR="00C501D4" w:rsidRPr="004A1D98" w:rsidRDefault="000D67AB" w:rsidP="00AB1BBF">
      <w:pPr>
        <w:numPr>
          <w:ilvl w:val="0"/>
          <w:numId w:val="37"/>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krāni, </w:t>
      </w:r>
    </w:p>
    <w:p w14:paraId="7F86AA10" w14:textId="77777777" w:rsidR="00C501D4" w:rsidRPr="004A1D98" w:rsidRDefault="000D67AB" w:rsidP="00AB1BBF">
      <w:pPr>
        <w:numPr>
          <w:ilvl w:val="0"/>
          <w:numId w:val="37"/>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dušas uzgaļi un </w:t>
      </w:r>
    </w:p>
    <w:p w14:paraId="5E204CF6" w14:textId="6C3729F6" w:rsidR="000D67AB" w:rsidRPr="004A1D98" w:rsidRDefault="000D67AB" w:rsidP="00AB1BBF">
      <w:pPr>
        <w:numPr>
          <w:ilvl w:val="0"/>
          <w:numId w:val="37"/>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dušas sistēmas. </w:t>
      </w:r>
    </w:p>
    <w:p w14:paraId="1835631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Prasības un kritēriji neattiecas uz šādiem produktu veidiem: </w:t>
      </w:r>
    </w:p>
    <w:p w14:paraId="2490FEF6" w14:textId="77777777" w:rsidR="00C501D4" w:rsidRPr="004A1D98" w:rsidRDefault="000D67AB" w:rsidP="00AB1BBF">
      <w:pPr>
        <w:numPr>
          <w:ilvl w:val="0"/>
          <w:numId w:val="38"/>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vannas krāni, </w:t>
      </w:r>
    </w:p>
    <w:p w14:paraId="60732523" w14:textId="77777777" w:rsidR="00C501D4" w:rsidRPr="004A1D98" w:rsidRDefault="000D67AB" w:rsidP="00AB1BBF">
      <w:pPr>
        <w:numPr>
          <w:ilvl w:val="0"/>
          <w:numId w:val="38"/>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krāni lietošanai ārā, </w:t>
      </w:r>
    </w:p>
    <w:p w14:paraId="797CD459" w14:textId="77777777" w:rsidR="00C501D4" w:rsidRPr="004A1D98" w:rsidRDefault="000D67AB" w:rsidP="00AB1BBF">
      <w:pPr>
        <w:numPr>
          <w:ilvl w:val="0"/>
          <w:numId w:val="38"/>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nemājsaimniecību krāni, dušas uzgaļi un dušas sistēmas īpašiem lietojumiem, kam paredzētās funkcijas izpildei vajadzīga neierobežota ūdens plūsma (piemēram, laboratoriju drošības krāni un dušas, profesionālie virtuves krāni),</w:t>
      </w:r>
    </w:p>
    <w:p w14:paraId="4EA9EA32" w14:textId="44EB45C7" w:rsidR="000D67AB" w:rsidRPr="004A1D98" w:rsidRDefault="000D67AB" w:rsidP="00AB1BBF">
      <w:pPr>
        <w:numPr>
          <w:ilvl w:val="0"/>
          <w:numId w:val="38"/>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krāni, kas paredzēti dārzkopības produktiem un pakalpojumiem. </w:t>
      </w:r>
    </w:p>
    <w:p w14:paraId="678A513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405B592B" w14:textId="7B713E3F"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364E97">
        <w:rPr>
          <w:rFonts w:ascii="Times New Roman" w:eastAsia="MS Gothic" w:hAnsi="Times New Roman" w:cs="Times New Roman"/>
          <w:b/>
          <w:bCs/>
          <w:color w:val="000000"/>
          <w:sz w:val="28"/>
          <w:szCs w:val="28"/>
          <w:lang w:val="lv-LV" w:eastAsia="lv-LV"/>
        </w:rPr>
        <w:t>0</w:t>
      </w:r>
      <w:r w:rsidRPr="004A1D98">
        <w:rPr>
          <w:rFonts w:ascii="Times New Roman" w:eastAsia="MS Gothic" w:hAnsi="Times New Roman" w:cs="Times New Roman"/>
          <w:b/>
          <w:bCs/>
          <w:color w:val="000000"/>
          <w:sz w:val="28"/>
          <w:szCs w:val="28"/>
          <w:lang w:val="lv-LV" w:eastAsia="lv-LV"/>
        </w:rPr>
        <w:t>.1. ZPI prasības krāniem, dušas uzgaļiem un to aprīkojumam</w:t>
      </w:r>
    </w:p>
    <w:tbl>
      <w:tblPr>
        <w:tblW w:w="8472" w:type="dxa"/>
        <w:tblCellMar>
          <w:left w:w="10" w:type="dxa"/>
          <w:right w:w="10" w:type="dxa"/>
        </w:tblCellMar>
        <w:tblLook w:val="04A0" w:firstRow="1" w:lastRow="0" w:firstColumn="1" w:lastColumn="0" w:noHBand="0" w:noVBand="1"/>
      </w:tblPr>
      <w:tblGrid>
        <w:gridCol w:w="3397"/>
        <w:gridCol w:w="5075"/>
      </w:tblGrid>
      <w:tr w:rsidR="000D67AB" w:rsidRPr="004A1D98" w14:paraId="239BC258" w14:textId="77777777" w:rsidTr="000A7815">
        <w:trPr>
          <w:trHeight w:val="552"/>
        </w:trPr>
        <w:tc>
          <w:tcPr>
            <w:tcW w:w="339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B788F74"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507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2B241DE6"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ZPI prasības </w:t>
            </w:r>
          </w:p>
        </w:tc>
      </w:tr>
      <w:tr w:rsidR="000D67AB" w:rsidRPr="004A1D98" w14:paraId="6565D67C" w14:textId="77777777" w:rsidTr="000A7815">
        <w:trPr>
          <w:trHeight w:val="552"/>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B6FE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FD04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Krāni, dušas uzgaļi un to aprīkojums (sanitārtehniskais aprīkojums) ar efektīvu ūdens patēriņu iegāde jaunām vai atjaunotām ēkām </w:t>
            </w:r>
          </w:p>
        </w:tc>
      </w:tr>
      <w:tr w:rsidR="000D67AB" w:rsidRPr="004A1D98" w14:paraId="32283347" w14:textId="77777777" w:rsidTr="000A7815">
        <w:trPr>
          <w:trHeight w:val="6368"/>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230C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5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64B6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ŪDENS PATĒRIŅŠ UN SAISTĪTAIS ENERĢIJAS IETAUPĪJUMS </w:t>
            </w:r>
          </w:p>
          <w:p w14:paraId="5337E46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1.1. Maksimāli pieejamais ūdens plūsmas ātrums </w:t>
            </w:r>
          </w:p>
          <w:p w14:paraId="2242BE9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Neatkarīgi no ūdens spiediena maksimāli pieejamais ūdens plūsmas ātrums izlietnē nedrīkst pārsniegt 1. tabulā norādītās vērtības. </w:t>
            </w:r>
          </w:p>
          <w:p w14:paraId="7596083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1. tabula</w:t>
            </w:r>
            <w:r w:rsidRPr="004A1D98">
              <w:rPr>
                <w:rFonts w:ascii="Times New Roman" w:eastAsia="Times New Roman" w:hAnsi="Times New Roman" w:cs="Times New Roman"/>
                <w:color w:val="000000"/>
                <w:sz w:val="28"/>
                <w:szCs w:val="28"/>
                <w:lang w:val="lv-LV" w:eastAsia="ja-JP"/>
              </w:rPr>
              <w:t xml:space="preserve">. Maksimāli pieejamais ūdens plūsmas ātrums sanitārtehniskajam aprīkojumam. </w:t>
            </w:r>
          </w:p>
          <w:tbl>
            <w:tblPr>
              <w:tblW w:w="4849" w:type="dxa"/>
              <w:tblCellMar>
                <w:left w:w="10" w:type="dxa"/>
                <w:right w:w="10" w:type="dxa"/>
              </w:tblCellMar>
              <w:tblLook w:val="04A0" w:firstRow="1" w:lastRow="0" w:firstColumn="1" w:lastColumn="0" w:noHBand="0" w:noVBand="1"/>
            </w:tblPr>
            <w:tblGrid>
              <w:gridCol w:w="2847"/>
              <w:gridCol w:w="2002"/>
            </w:tblGrid>
            <w:tr w:rsidR="000D67AB" w:rsidRPr="004A1D98" w14:paraId="6A0CC8C4"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5CE4B"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Produkta apakšgrupa</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7E299"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Ūdens plūsmas ātrums (l/min.)</w:t>
                  </w:r>
                </w:p>
              </w:tc>
            </w:tr>
            <w:tr w:rsidR="000D67AB" w:rsidRPr="004A1D98" w14:paraId="177AF001"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F0875"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Virtuves krāni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430A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8,0</w:t>
                  </w:r>
                </w:p>
              </w:tc>
            </w:tr>
            <w:tr w:rsidR="000D67AB" w:rsidRPr="004A1D98" w14:paraId="7DADD8F9"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60378"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Vannas istabas izlietnes krāni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FF9C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7,0</w:t>
                  </w:r>
                </w:p>
              </w:tc>
            </w:tr>
            <w:tr w:rsidR="000D67AB" w:rsidRPr="004A1D98" w14:paraId="536D9DDF"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9C39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Dušas uzgaļi vai dušas sistēmas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055F0"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9,0</w:t>
                  </w:r>
                </w:p>
              </w:tc>
            </w:tr>
          </w:tbl>
          <w:p w14:paraId="2F4E4B0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Piezīme</w:t>
            </w:r>
            <w:r w:rsidRPr="004A1D98">
              <w:rPr>
                <w:rFonts w:ascii="Times New Roman" w:eastAsia="Times New Roman" w:hAnsi="Times New Roman" w:cs="Times New Roman"/>
                <w:color w:val="000000"/>
                <w:sz w:val="28"/>
                <w:szCs w:val="28"/>
                <w:lang w:val="lv-LV" w:eastAsia="ja-JP"/>
              </w:rPr>
              <w:t xml:space="preserve">. sanitārtehniskajam aprķojumam ar vairākiem izsmidzināšanas veidiem ir jāatbilst prasībai attiecībā uz lielākās ūdens plūsmas iestatījumu. </w:t>
            </w:r>
          </w:p>
          <w:p w14:paraId="69A03AC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42FBE73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1.2. Mazākais maksimāli pieejamais ūdens plūsmas ātrums </w:t>
            </w:r>
          </w:p>
          <w:p w14:paraId="54E1292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Neatkarīgi no ūdens spiediena sanitārtehniskā aprīkojuma mazākais maksimāli pieejamais ūdens plūsmas ātrums nedrīkst būt mazāks par 2. tabulā norādītajām vērtībām. </w:t>
            </w:r>
          </w:p>
          <w:p w14:paraId="5CF49BA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2. tabula</w:t>
            </w:r>
            <w:r w:rsidRPr="004A1D98">
              <w:rPr>
                <w:rFonts w:ascii="Times New Roman" w:eastAsia="Times New Roman" w:hAnsi="Times New Roman" w:cs="Times New Roman"/>
                <w:color w:val="000000"/>
                <w:sz w:val="28"/>
                <w:szCs w:val="28"/>
                <w:lang w:val="lv-LV" w:eastAsia="ja-JP"/>
              </w:rPr>
              <w:t>. Mazākais maksimāli pieejamais plūsmas ātrums sanitārtehniskajam aprīkojumam.</w:t>
            </w:r>
          </w:p>
          <w:tbl>
            <w:tblPr>
              <w:tblW w:w="4849" w:type="dxa"/>
              <w:tblCellMar>
                <w:left w:w="10" w:type="dxa"/>
                <w:right w:w="10" w:type="dxa"/>
              </w:tblCellMar>
              <w:tblLook w:val="04A0" w:firstRow="1" w:lastRow="0" w:firstColumn="1" w:lastColumn="0" w:noHBand="0" w:noVBand="1"/>
            </w:tblPr>
            <w:tblGrid>
              <w:gridCol w:w="2847"/>
              <w:gridCol w:w="2002"/>
            </w:tblGrid>
            <w:tr w:rsidR="000D67AB" w:rsidRPr="004A1D98" w14:paraId="180F2B37"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43162"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Produkta apakšgrupa</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73CAA"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Ūdens plūsmas ātrums (l/min.)</w:t>
                  </w:r>
                </w:p>
              </w:tc>
            </w:tr>
            <w:tr w:rsidR="000D67AB" w:rsidRPr="004A1D98" w14:paraId="5577F104"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98E36"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Virtuves krāni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16E0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2,0</w:t>
                  </w:r>
                </w:p>
              </w:tc>
            </w:tr>
            <w:tr w:rsidR="000D67AB" w:rsidRPr="004A1D98" w14:paraId="2B06C634"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60FCD"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Vannas istabas izlietnes krāni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9142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2,0</w:t>
                  </w:r>
                </w:p>
              </w:tc>
            </w:tr>
            <w:tr w:rsidR="000D67AB" w:rsidRPr="004A1D98" w14:paraId="40F7B846"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8EE9"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Dušas uzgaļi vai dušas sistēmas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D483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4,5</w:t>
                  </w:r>
                </w:p>
              </w:tc>
            </w:tr>
            <w:tr w:rsidR="000D67AB" w:rsidRPr="004A1D98" w14:paraId="30B5CBE6" w14:textId="77777777" w:rsidTr="000A7815">
              <w:tc>
                <w:tcPr>
                  <w:tcW w:w="2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536E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Elektriskas dušas sistēmas un zemspiediena dušas </w:t>
                  </w:r>
                </w:p>
              </w:tc>
              <w:tc>
                <w:tcPr>
                  <w:tcW w:w="20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6E8D"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3,0</w:t>
                  </w:r>
                </w:p>
              </w:tc>
            </w:tr>
          </w:tbl>
          <w:p w14:paraId="495C04A1" w14:textId="77777777" w:rsidR="000D67AB" w:rsidRPr="004A1D98" w:rsidRDefault="000D67AB" w:rsidP="00426910">
            <w:pPr>
              <w:spacing w:after="0" w:line="240" w:lineRule="auto"/>
              <w:rPr>
                <w:rFonts w:ascii="Times New Roman" w:eastAsia="Times New Roman" w:hAnsi="Times New Roman" w:cs="Times New Roman"/>
                <w:b/>
                <w:color w:val="000000"/>
                <w:sz w:val="28"/>
                <w:szCs w:val="28"/>
                <w:lang w:val="lv-LV" w:eastAsia="lv-LV"/>
              </w:rPr>
            </w:pPr>
          </w:p>
          <w:p w14:paraId="6A2A78A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1.3. Temperatūras kontrole </w:t>
            </w:r>
          </w:p>
          <w:p w14:paraId="7A640C5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(šis kritērijs nav piemērojams dušas uzgaļiem un sanitārtehniskajam aprīkojumam, ko pievienos ūdens piegādes sistēmai, kurai jau ir temperatūras kontroles iespējas) </w:t>
            </w:r>
          </w:p>
          <w:p w14:paraId="6B3A45B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Sanitārtehnisko aprīkojumu aprīko ar modernu ierīci vai tehnoloģiju, kas ļauj regulēt temperatūru. Atkarībā no savām vēlmēm valsts iestādes var izvēlēties vienu no šādām iespējām: </w:t>
            </w:r>
          </w:p>
          <w:p w14:paraId="35923F4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1.3.1.Sanitārtehnisko aprīkojumu aprīko ar karstā ūdens barjeru;</w:t>
            </w:r>
          </w:p>
          <w:p w14:paraId="4693262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1.3.2.Sanitārtehniskais aprīkojums ir termostatiski regulējama;</w:t>
            </w:r>
          </w:p>
          <w:p w14:paraId="162B23A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1.3.3.Sanitārtehnisko aprīkojumu uzprojektē ar aukstā ūdens piegādi vidējā pozīcijā. </w:t>
            </w:r>
          </w:p>
          <w:p w14:paraId="10025DD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Dušas sistēmas ar dubultu sviru/rokturi neatbilst šim kritērijam. </w:t>
            </w:r>
          </w:p>
          <w:p w14:paraId="45D7854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1.4. Laika kontrole </w:t>
            </w:r>
            <w:r w:rsidRPr="004A1D98">
              <w:rPr>
                <w:rFonts w:ascii="Times New Roman" w:eastAsia="Times New Roman" w:hAnsi="Times New Roman" w:cs="Times New Roman"/>
                <w:color w:val="000000"/>
                <w:sz w:val="28"/>
                <w:szCs w:val="28"/>
                <w:lang w:val="lv-LV" w:eastAsia="ja-JP"/>
              </w:rPr>
              <w:t>Sanitārtehnisko aprīkojumam</w:t>
            </w:r>
            <w:r w:rsidRPr="004A1D98">
              <w:rPr>
                <w:rFonts w:ascii="Times New Roman" w:eastAsia="Times New Roman" w:hAnsi="Times New Roman" w:cs="Times New Roman"/>
                <w:bCs/>
                <w:color w:val="000000"/>
                <w:sz w:val="28"/>
                <w:szCs w:val="28"/>
                <w:lang w:val="lv-LV" w:eastAsia="ja-JP"/>
              </w:rPr>
              <w:t>, kas paredzēta daudzkārtīgai un biežai lietošanai</w:t>
            </w:r>
          </w:p>
          <w:p w14:paraId="782001A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Sanitārtehniskais aprīkojums, kas uzstādīts nemājsaimniecības apstākļos daudzkārtīgai un biežai lietošanai (proti, Sanitārtehniskais aprīkojums , ko izmanto sabiedriskajās tualetēs vai tualetēs skolās, birojos, slimnīcās, peldbaseinos un tamlīdzīgos apstākļos), nosaka laika limitu vienreizējam ūdens patēriņam (proti, ierobežo patērēto ūdens tilpumu). To var izdarīt, aprīkojot produktus ar ierīcēm, kas aptur ūdens plūsmu pēc zināma laika, ja to neizmanto (piemēram, sensoriem, kas aptur ūdens plūsmu, kad lietotājs vairs nav sensora uztveršanas laukā), un/vai pēc iestatīta lietošanas laikposma (piemēram, laika limitētājiem, kas aptur ūdens plūsmu, kad ir sasniegts maksimālais plūsmas ilgums). </w:t>
            </w:r>
          </w:p>
          <w:p w14:paraId="7EEB505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1.4.1. Ja valsts iestāde vēlas izmantot laika kontroles sistēmu: </w:t>
            </w:r>
          </w:p>
          <w:p w14:paraId="2476AF5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Sanitārtehniskais aprīkojums, kas aprīkots ar laika limitētājiem, iepriekš iestatītais maksimālais plūsmas ilgums nedrīkst pārsniegt 15 sekundes krāniem un 35 sekundes dušām. Tomēr produkts ir ražots tā, lai uzstādītājs varētu pielāgot plūsmas ilgumu saskaņā ar paredzēto produkta lietojumu. </w:t>
            </w:r>
          </w:p>
          <w:p w14:paraId="783269C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1.4.2. Ja valsts iestāde vēlas sistēmu, ko kontrolē ar sensoru:</w:t>
            </w:r>
          </w:p>
          <w:p w14:paraId="4112210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Sanitārtehniskais aprīkojums, kas aprīkots ar sensoru, izslēgšanās laiks pēc lietošanas nedrīkst pārsniegt 2 sekundes krāniem un 3 sekundes dušām. Turklāt sanitārtehniskajā aprīkojumā, kas aprīkots ar sensoru, jābūt iebūvētam tehniskam drošības aprīkojumam ar iepriekš iestatītu izslēgšanās laiku maksimāli pēc 2 minūtēm, lai nepieļautu negadījumus vai nepārtrauktu ūdens plūsmu no krāniem/dušām, kad tos nelieto. </w:t>
            </w:r>
          </w:p>
          <w:p w14:paraId="6F8A336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 PRODUKTA KVALITĀTE UN LIETOŠANAS ILGUMS </w:t>
            </w:r>
          </w:p>
          <w:p w14:paraId="23E2EE2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2.1. Iedarbībai pakļautās virsmas stāvoklis un pārklājuma kvalitāte </w:t>
            </w:r>
          </w:p>
          <w:p w14:paraId="53D7323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Sanitārie produkti, kam ir metālisks niķeļa-hroma pārklājums (neatkarīgi no pamatmateriāla īpašībām), atbilst piemērojamo standartu prasībām.</w:t>
            </w:r>
          </w:p>
          <w:p w14:paraId="01AD94D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Cs/>
                <w:color w:val="000000"/>
                <w:sz w:val="28"/>
                <w:szCs w:val="28"/>
                <w:lang w:val="lv-LV" w:eastAsia="ja-JP"/>
              </w:rPr>
              <w:t xml:space="preserve">2.2. Rezerves daļu remonta iespējas un pieejamība </w:t>
            </w:r>
          </w:p>
          <w:p w14:paraId="7B32B19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Produkts ir ražots tā, lai attiecīgā gadījumā galapatērētājs vai santehniķis tā nomaināmos komponentus varētu viegli aizstāt. Informāciju par to, kurus elementus var aizstāt, skaidri norāda produktam pievienotajā informācijas lapā. Turklāt pieteikuma iesniedzējs sniedz skaidrus norādījumus, lai attiecīgā gadījumā galalietotājs vai santehniķis varētu veikt pamatremontu. </w:t>
            </w:r>
          </w:p>
          <w:p w14:paraId="62D32F3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Pieteikuma iesniedzējs turklāt nodrošina, ka rezerves daļas ir pieejamas vismaz piecus gadus pēc pirkuma dienas. </w:t>
            </w:r>
          </w:p>
          <w:p w14:paraId="5AC7479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2.3. Garantija </w:t>
            </w:r>
          </w:p>
          <w:p w14:paraId="2A125A4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Pieteikuma iesniedzējs dod vismaz četru gadu garantiju remontam vai nomaiņai. </w:t>
            </w:r>
          </w:p>
          <w:p w14:paraId="1D1F0BC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3. LIETOŠANAS INSTRUKCIJA </w:t>
            </w:r>
          </w:p>
          <w:p w14:paraId="4B136F9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Produktam drukātā veidā (uz iepakojuma un/vai produktam pievienotajā dokumentācijā) un/vai elektroniskā formātā ir pievienota šāda informācija:</w:t>
            </w:r>
          </w:p>
          <w:p w14:paraId="43ABCFD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3.1. uzstādīšanas instrukcijas, tostarp informācija par konkrētu darbības spiedienu, kam produkts ir piemērots;</w:t>
            </w:r>
          </w:p>
          <w:p w14:paraId="31512D7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3.2. ieteikumi par produkta pareizu lietošanu un apkopi (tostarp tīrīšanu un atkaļķošanu), kuros minēti visi atbilstošie norādījumi, jo īpaši:</w:t>
            </w:r>
          </w:p>
          <w:p w14:paraId="124B121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3.2.1. ieteikumi par produktu apkopi un lietošanu; </w:t>
            </w:r>
          </w:p>
          <w:p w14:paraId="6500E11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3.2.2. informācija par to, kuras rezerves daļas var aizstāt;</w:t>
            </w:r>
          </w:p>
          <w:p w14:paraId="6DC894D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3.2.3. norādījumi par blīvju nomaiņu, ja no krāna pil ūdens;</w:t>
            </w:r>
          </w:p>
          <w:p w14:paraId="4303A3C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3.2.4. ieteikumi par Sanitārtehniskā aprīkojuma tīrīšanu ar piemērotiem materiāliem, lai novērstu tās iekšējās un ārējās virsmas bojājumus; </w:t>
            </w:r>
          </w:p>
          <w:p w14:paraId="7DAEB37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3.2.5. ieteikumi par aeratoru regulāru un pareizu apkopi. </w:t>
            </w:r>
          </w:p>
        </w:tc>
      </w:tr>
    </w:tbl>
    <w:p w14:paraId="4B43EA42"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p>
    <w:p w14:paraId="077EBA0D" w14:textId="426DE51B"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364E97">
        <w:rPr>
          <w:rFonts w:ascii="Times New Roman" w:eastAsia="MS Gothic" w:hAnsi="Times New Roman" w:cs="Times New Roman"/>
          <w:b/>
          <w:bCs/>
          <w:color w:val="000000"/>
          <w:sz w:val="28"/>
          <w:szCs w:val="28"/>
          <w:lang w:val="lv-LV" w:eastAsia="lv-LV"/>
        </w:rPr>
        <w:t>0</w:t>
      </w:r>
      <w:r w:rsidRPr="004A1D98">
        <w:rPr>
          <w:rFonts w:ascii="Times New Roman" w:eastAsia="MS Gothic" w:hAnsi="Times New Roman" w:cs="Times New Roman"/>
          <w:b/>
          <w:bCs/>
          <w:color w:val="000000"/>
          <w:sz w:val="28"/>
          <w:szCs w:val="28"/>
          <w:lang w:val="lv-LV" w:eastAsia="lv-LV"/>
        </w:rPr>
        <w:t xml:space="preserve">.2. ZPI prasības  krānu, dušas uzgaļu un to aprīkojuma uzstādīšanai </w:t>
      </w:r>
    </w:p>
    <w:p w14:paraId="23B4308F" w14:textId="77777777" w:rsidR="000D67AB" w:rsidRPr="004A1D98" w:rsidRDefault="000D67AB" w:rsidP="00426910">
      <w:pPr>
        <w:suppressAutoHyphens/>
        <w:autoSpaceDN w:val="0"/>
        <w:spacing w:before="120" w:after="120" w:line="240" w:lineRule="auto"/>
        <w:jc w:val="center"/>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(prasības piemēro papildus 11.1. sadaļā norādītajiem)</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3A3B37EA"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2B79B64"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8D12311"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6250657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CE5B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4C7C4"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Jauna sanitārtehniskā aprīkojuma produktu ar efektīvu ūdens patēriņu uzstādīšana vai to aizstāšana </w:t>
            </w:r>
          </w:p>
        </w:tc>
      </w:tr>
      <w:tr w:rsidR="000D67AB" w:rsidRPr="004A1D98" w14:paraId="659D9E4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1A06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4951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Cs/>
                <w:color w:val="000000"/>
                <w:sz w:val="28"/>
                <w:szCs w:val="28"/>
                <w:lang w:val="lv-LV" w:eastAsia="ja-JP"/>
              </w:rPr>
              <w:t xml:space="preserve">1. Piegādātājs nodrošina, lai gadījumos, kad aprīkojums ietver sensorus vai laika limitētājus: </w:t>
            </w:r>
          </w:p>
          <w:p w14:paraId="40599516" w14:textId="77777777" w:rsidR="000D67AB" w:rsidRPr="004A1D98" w:rsidRDefault="000D67AB" w:rsidP="00AB1BBF">
            <w:pPr>
              <w:numPr>
                <w:ilvl w:val="1"/>
                <w:numId w:val="49"/>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vienojoties ar pasūtītāju, sensoriem iestata jutību un laika aizturi uz atbilstošiem līmeņiem, lai tiktu apmierinātas lietotāju vajadzības, neradot pārmērīgu ūdens un enerģijas patēriņu; </w:t>
            </w:r>
          </w:p>
          <w:p w14:paraId="47B94A21" w14:textId="77777777" w:rsidR="000D67AB" w:rsidRPr="004A1D98" w:rsidRDefault="000D67AB" w:rsidP="00AB1BBF">
            <w:pPr>
              <w:numPr>
                <w:ilvl w:val="1"/>
                <w:numId w:val="49"/>
              </w:numPr>
              <w:suppressAutoHyphens/>
              <w:autoSpaceDN w:val="0"/>
              <w:spacing w:before="120" w:after="120" w:line="240" w:lineRule="auto"/>
              <w:ind w:left="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sensorus pārbauda, lai nodrošinātu, ka tie pienācīgi darbojas un ir pietiekami jutīgi, lai uztvertu tipiskas lietotāju kustības; </w:t>
            </w:r>
          </w:p>
          <w:p w14:paraId="2A5DA55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1.3.laika limitētājus, vienojoties ar pasūtītāju, uzstāda uz nepieciešamajiem laikiem, lai tie atbilstu lietotāju vajadzībām, pārmērīgi nepalielinot ūdens un saistītās enerģijas patēriņu. </w:t>
            </w:r>
          </w:p>
        </w:tc>
      </w:tr>
    </w:tbl>
    <w:p w14:paraId="6ACECEAE" w14:textId="77777777" w:rsidR="000D67AB" w:rsidRPr="004A1D98" w:rsidRDefault="000D67AB" w:rsidP="00426910">
      <w:pPr>
        <w:spacing w:after="0" w:line="240" w:lineRule="auto"/>
        <w:rPr>
          <w:rFonts w:ascii="Times New Roman" w:eastAsia="Times New Roman" w:hAnsi="Times New Roman" w:cs="Times New Roman"/>
          <w:b/>
          <w:color w:val="000000"/>
          <w:sz w:val="28"/>
          <w:szCs w:val="28"/>
          <w:lang w:val="lv-LV" w:eastAsia="lv-LV"/>
        </w:rPr>
      </w:pPr>
    </w:p>
    <w:p w14:paraId="1ADBD9D5" w14:textId="0CFB1E25"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364E97">
        <w:rPr>
          <w:rFonts w:ascii="Times New Roman" w:eastAsia="MS Gothic" w:hAnsi="Times New Roman" w:cs="Times New Roman"/>
          <w:b/>
          <w:bCs/>
          <w:color w:val="000000"/>
          <w:sz w:val="28"/>
          <w:szCs w:val="28"/>
          <w:lang w:val="lv-LV" w:eastAsia="lv-LV"/>
        </w:rPr>
        <w:t>1</w:t>
      </w:r>
      <w:r w:rsidRPr="004A1D98">
        <w:rPr>
          <w:rFonts w:ascii="Times New Roman" w:eastAsia="MS Gothic" w:hAnsi="Times New Roman" w:cs="Times New Roman"/>
          <w:b/>
          <w:bCs/>
          <w:color w:val="000000"/>
          <w:sz w:val="28"/>
          <w:szCs w:val="28"/>
          <w:lang w:val="lv-LV" w:eastAsia="lv-LV"/>
        </w:rPr>
        <w:t>. Tekstilpreces</w:t>
      </w:r>
    </w:p>
    <w:p w14:paraId="7F40742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66B4E9B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Prasības un kritēriji attiecas uz šādiem tekstilizstrādājumiem</w:t>
      </w:r>
    </w:p>
    <w:p w14:paraId="4576DA89" w14:textId="77777777" w:rsidR="000D67AB" w:rsidRPr="004A1D98" w:rsidRDefault="000D67AB" w:rsidP="00AB1BBF">
      <w:pPr>
        <w:numPr>
          <w:ilvl w:val="0"/>
          <w:numId w:val="39"/>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apģērbs un aksesuāri (piemēram, kabatlakatiņus, šalles, somas, iepirkumu somas, mugursomas, jostas utt.), kuru sastāvā ir vismaz 90 masas procentu tekstilšķiedru; </w:t>
      </w:r>
    </w:p>
    <w:p w14:paraId="7BAA976D" w14:textId="77777777" w:rsidR="000D67AB" w:rsidRPr="004A1D98" w:rsidRDefault="000D67AB" w:rsidP="00AB1BBF">
      <w:pPr>
        <w:numPr>
          <w:ilvl w:val="0"/>
          <w:numId w:val="39"/>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interjera tekstilpreces: lietošanai telpās paredzēti tekstilizstrādājumi, kuru sastāvā ir vismaz 90 masas procentu tekstilšķiedru (izņēmums ir grīdu un sienu segumi);</w:t>
      </w:r>
    </w:p>
    <w:p w14:paraId="5A8032BF" w14:textId="77777777" w:rsidR="000D67AB" w:rsidRPr="004A1D98" w:rsidRDefault="000D67AB" w:rsidP="00AB1BBF">
      <w:pPr>
        <w:numPr>
          <w:ilvl w:val="0"/>
          <w:numId w:val="39"/>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šķiedras, dzijas un audumi, kas paredzēti izmantošanai apģērbā un aksesuāros no tekstilmateriāliem vai interjera tekstilprecēs.</w:t>
      </w:r>
    </w:p>
    <w:p w14:paraId="0327B6DC" w14:textId="18C0230C"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364E97">
        <w:rPr>
          <w:rFonts w:ascii="Times New Roman" w:eastAsia="MS Gothic" w:hAnsi="Times New Roman" w:cs="Times New Roman"/>
          <w:b/>
          <w:bCs/>
          <w:color w:val="000000"/>
          <w:sz w:val="28"/>
          <w:szCs w:val="28"/>
          <w:lang w:val="lv-LV" w:eastAsia="lv-LV"/>
        </w:rPr>
        <w:t>1</w:t>
      </w:r>
      <w:r w:rsidRPr="004A1D98">
        <w:rPr>
          <w:rFonts w:ascii="Times New Roman" w:eastAsia="MS Gothic" w:hAnsi="Times New Roman" w:cs="Times New Roman"/>
          <w:b/>
          <w:bCs/>
          <w:color w:val="000000"/>
          <w:sz w:val="28"/>
          <w:szCs w:val="28"/>
          <w:lang w:val="lv-LV" w:eastAsia="lv-LV"/>
        </w:rPr>
        <w:t>.1. ZPI prasības un kritēriji tekstilprecēm</w:t>
      </w:r>
    </w:p>
    <w:p w14:paraId="259ED7DC" w14:textId="77777777" w:rsidR="000D67AB" w:rsidRPr="004A1D98" w:rsidRDefault="000D67AB" w:rsidP="00426910">
      <w:pPr>
        <w:spacing w:after="0" w:line="240" w:lineRule="auto"/>
        <w:rPr>
          <w:rFonts w:ascii="Times New Roman" w:eastAsia="Times New Roman" w:hAnsi="Times New Roman" w:cs="Times New Roman"/>
          <w:sz w:val="28"/>
          <w:szCs w:val="28"/>
          <w:lang w:val="lv-LV" w:eastAsia="lv-LV"/>
        </w:rPr>
      </w:pPr>
    </w:p>
    <w:tbl>
      <w:tblPr>
        <w:tblW w:w="8472" w:type="dxa"/>
        <w:tblCellMar>
          <w:left w:w="10" w:type="dxa"/>
          <w:right w:w="10" w:type="dxa"/>
        </w:tblCellMar>
        <w:tblLook w:val="04A0" w:firstRow="1" w:lastRow="0" w:firstColumn="1" w:lastColumn="0" w:noHBand="0" w:noVBand="1"/>
      </w:tblPr>
      <w:tblGrid>
        <w:gridCol w:w="2122"/>
        <w:gridCol w:w="6350"/>
      </w:tblGrid>
      <w:tr w:rsidR="000D67AB" w:rsidRPr="004A1D98" w14:paraId="66ABCA05" w14:textId="77777777" w:rsidTr="000A7815">
        <w:trPr>
          <w:trHeight w:val="552"/>
        </w:trPr>
        <w:tc>
          <w:tcPr>
            <w:tcW w:w="2227"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9CBE6C5"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624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E60E7DB"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037CB74D" w14:textId="77777777" w:rsidTr="000A7815">
        <w:trPr>
          <w:trHeight w:val="552"/>
        </w:trPr>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21F9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6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3EFA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Tādu tekstilizstrādājumu iepirkums, kuros ir zems toksisku vielu līmenis, dodot priekšroku šķiedrām un izstrādājumiem, kuru ietekme uz vidi ražošanas laikā ir neliela un kuri izgatavoti no šķiedrām, kas ražotas, izmantojot minimālu pesticīdu daudzumu. </w:t>
            </w:r>
          </w:p>
        </w:tc>
      </w:tr>
      <w:tr w:rsidR="000D67AB" w:rsidRPr="004A1D98" w14:paraId="1B9CDFAE" w14:textId="77777777" w:rsidTr="000A7815">
        <w:trPr>
          <w:trHeight w:val="552"/>
        </w:trPr>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C73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6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72BF8"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PESTICĪDI </w:t>
            </w:r>
          </w:p>
          <w:p w14:paraId="4A9EC2A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Gatavos izstrādājumos, kas izgatavoti no kokvilnas vai citām dabīgām celulozes šķiedrām, katras turpmāk minētās vielas saturs nepārsniedz 0,05 ppm (miljondaļas). Turpmāk minēto vielu kopējais saturs nepārsniedz 0,75 ppm: </w:t>
            </w:r>
          </w:p>
          <w:p w14:paraId="479D65C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2,4,5-T, </w:t>
            </w:r>
          </w:p>
          <w:p w14:paraId="7C56E54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aldrīns, </w:t>
            </w:r>
          </w:p>
          <w:p w14:paraId="2CA6A80A"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kaptafols, </w:t>
            </w:r>
          </w:p>
          <w:p w14:paraId="108959F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hlordāns, </w:t>
            </w:r>
          </w:p>
          <w:p w14:paraId="004DBD91"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hlordimeforms, </w:t>
            </w:r>
          </w:p>
          <w:p w14:paraId="416E0CD0"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DDT, </w:t>
            </w:r>
          </w:p>
          <w:p w14:paraId="35EE56B0"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dieldrīns, </w:t>
            </w:r>
          </w:p>
          <w:p w14:paraId="13807EF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dinosebs un tā sāļi, </w:t>
            </w:r>
          </w:p>
          <w:p w14:paraId="4393D28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endrīns, </w:t>
            </w:r>
          </w:p>
          <w:p w14:paraId="190138A0"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heptahlors, </w:t>
            </w:r>
          </w:p>
          <w:p w14:paraId="5EE61DF3"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heksahlorbenzols, </w:t>
            </w:r>
          </w:p>
          <w:p w14:paraId="3D17EC9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α-heksahlorcikloheksāns, </w:t>
            </w:r>
          </w:p>
          <w:p w14:paraId="59DC1341"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β-heksahlorcikloheksāns, </w:t>
            </w:r>
          </w:p>
          <w:p w14:paraId="6ADB7981"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δ-heksahlorcikloheksāns, </w:t>
            </w:r>
          </w:p>
          <w:p w14:paraId="00D1425A"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metamidofoss,</w:t>
            </w:r>
          </w:p>
          <w:p w14:paraId="76EB2D2A"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monokrotofoss, </w:t>
            </w:r>
          </w:p>
          <w:p w14:paraId="3730A67C"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β-heksahlorcikloheksāns, </w:t>
            </w:r>
          </w:p>
          <w:p w14:paraId="606FBC9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δ-heksahlorcikloheksāns, </w:t>
            </w:r>
          </w:p>
          <w:p w14:paraId="39A2A2A8"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metamidofoss,</w:t>
            </w:r>
          </w:p>
          <w:p w14:paraId="2F46CA8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monokrotofoss, </w:t>
            </w:r>
          </w:p>
          <w:p w14:paraId="49D5033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parations,</w:t>
            </w:r>
          </w:p>
          <w:p w14:paraId="0BE97B8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parationmetils, </w:t>
            </w:r>
          </w:p>
          <w:p w14:paraId="17357B8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propetamfoss, </w:t>
            </w:r>
          </w:p>
          <w:p w14:paraId="79D0E9C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toksafēns. </w:t>
            </w:r>
          </w:p>
          <w:p w14:paraId="5EA6055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  KRĀSVIELAS </w:t>
            </w:r>
          </w:p>
          <w:p w14:paraId="22277FF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Gatavu izstrādājumu ražošanā neizmanto šādas krāsvielas, kas klasificētas kā sensibilizējošas / alergēnas, kancerogēnas, mutagēnas vai reproduktīvajai funkcijai toksiskas vielas: </w:t>
            </w:r>
          </w:p>
          <w:p w14:paraId="6066259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Basic Red 9, </w:t>
            </w:r>
          </w:p>
          <w:p w14:paraId="49BDD8E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1, </w:t>
            </w:r>
          </w:p>
          <w:p w14:paraId="133783E5"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Acid Red 26, </w:t>
            </w:r>
          </w:p>
          <w:p w14:paraId="53CB9778"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Basic Violet 14, </w:t>
            </w:r>
          </w:p>
          <w:p w14:paraId="447EC80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Orange 11, </w:t>
            </w:r>
          </w:p>
          <w:p w14:paraId="4ECCDB4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 I. Direct Black 38, </w:t>
            </w:r>
          </w:p>
          <w:p w14:paraId="2404529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 I. Direct Blue 6, </w:t>
            </w:r>
          </w:p>
          <w:p w14:paraId="54E115A3"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 I. Direct Red 28, </w:t>
            </w:r>
          </w:p>
          <w:p w14:paraId="5A08038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 I. Disperse Yellow 3, </w:t>
            </w:r>
          </w:p>
          <w:p w14:paraId="007D234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Yellow 23, </w:t>
            </w:r>
          </w:p>
          <w:p w14:paraId="5BBFE3B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Yellow 149. </w:t>
            </w:r>
          </w:p>
          <w:p w14:paraId="6B90AE4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Šādas krāsvielas ar izmanto tikai tad, ja krāsoto šķiedru, dziju vai audumu krāsnoturība pret sviedriem (skābiem un sārmainiem) atbilst vismaz 4. līmenim: </w:t>
            </w:r>
          </w:p>
          <w:p w14:paraId="287B3004"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3 C.I. 61 505, </w:t>
            </w:r>
          </w:p>
          <w:p w14:paraId="18EDC8EC"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7 C.I. 62 500, </w:t>
            </w:r>
          </w:p>
          <w:p w14:paraId="7541B370"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26 C.I. 63 305, </w:t>
            </w:r>
          </w:p>
          <w:p w14:paraId="748DC83F"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35, </w:t>
            </w:r>
          </w:p>
          <w:p w14:paraId="7E47FCC3"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102, </w:t>
            </w:r>
          </w:p>
          <w:p w14:paraId="2AB8C9F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106, </w:t>
            </w:r>
          </w:p>
          <w:p w14:paraId="0E29C03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Blue 124, </w:t>
            </w:r>
          </w:p>
          <w:p w14:paraId="72BF8E2A"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Orange 1 C.I. 11 080, </w:t>
            </w:r>
          </w:p>
          <w:p w14:paraId="39BDC417"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Orange 3 C.I. 11 005, </w:t>
            </w:r>
          </w:p>
          <w:p w14:paraId="4018704F"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Orange 37, </w:t>
            </w:r>
          </w:p>
          <w:p w14:paraId="04996B4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Orange 76 (iepriekšējais apzīmējums Orange 37), </w:t>
            </w:r>
          </w:p>
          <w:p w14:paraId="0CB46D51"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Red 1 C.I. 11 110, </w:t>
            </w:r>
          </w:p>
          <w:p w14:paraId="00D26198"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Red 11 C.I. 62 015, </w:t>
            </w:r>
          </w:p>
          <w:p w14:paraId="21F6BB4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Red 17 C.I. 11 210, </w:t>
            </w:r>
          </w:p>
          <w:p w14:paraId="117BF32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Yellow 1 C.I. 10 345, </w:t>
            </w:r>
          </w:p>
          <w:p w14:paraId="5B2B17E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Yellow 9 C.I. 10 375 </w:t>
            </w:r>
          </w:p>
          <w:p w14:paraId="1F4027F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Yellow 39, </w:t>
            </w:r>
          </w:p>
          <w:p w14:paraId="7B49C4E8"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C.I. Disperse Yellow 49. </w:t>
            </w:r>
          </w:p>
          <w:p w14:paraId="5813EF7E"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 ARILAMĪNI </w:t>
            </w:r>
          </w:p>
          <w:p w14:paraId="0FD78E5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Gatavi izstrādājumi nesatur šādus arilamīnus: </w:t>
            </w:r>
          </w:p>
          <w:p w14:paraId="5B7B6F3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4-aminodifenils (CAS Nr. 92-67-1), </w:t>
            </w:r>
          </w:p>
          <w:p w14:paraId="2966C795"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benzidīns (CAS Nr. 92-87-5), </w:t>
            </w:r>
          </w:p>
          <w:p w14:paraId="67036BDA"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4-hlor-o-toluidīns (CAS Nr. 95-69-2), </w:t>
            </w:r>
          </w:p>
          <w:p w14:paraId="094D8A67"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2-naftilamīns (CAS Nr. 91-59-8), </w:t>
            </w:r>
          </w:p>
          <w:p w14:paraId="7EC33CB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o-aminoazotoluols (CAS Nr. 97-56-3), </w:t>
            </w:r>
          </w:p>
          <w:p w14:paraId="22FD84F6"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2-amino-4-nitrotoluols (CAS Nr. 99-55-8), </w:t>
            </w:r>
          </w:p>
          <w:p w14:paraId="72E29FAA"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p-hloranilīns (CAS Nr. 106-47-8), </w:t>
            </w:r>
          </w:p>
          <w:p w14:paraId="7B1435D7"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2,4-diaminoanizols (CAS Nr. 615-05-4) </w:t>
            </w:r>
          </w:p>
          <w:p w14:paraId="51626753"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4,4'-diaminodifenilmetāns (CAS Nr. 101-77-9), </w:t>
            </w:r>
          </w:p>
          <w:p w14:paraId="4722BC7C"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3,3'-dihlorbenzidīns (CAS Nr. 91-94-1), </w:t>
            </w:r>
          </w:p>
          <w:p w14:paraId="1AA5B904"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3,3'-dimetoksibenzidīns (CAS Nr. 119-90-4), </w:t>
            </w:r>
          </w:p>
          <w:p w14:paraId="62B78B5E"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3,3'-dimetilbenzidīns (CAS Nr. 119-93-7), </w:t>
            </w:r>
          </w:p>
          <w:p w14:paraId="366A88D7"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3,3'-dimetil-4,4'-diaminodifenilmetāns (CAS Nr. 838-88-0), </w:t>
            </w:r>
          </w:p>
          <w:p w14:paraId="301064F7"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p-krezidīns (CAS Nr. 120-71-8), </w:t>
            </w:r>
          </w:p>
          <w:p w14:paraId="7FFE2EC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4,4'-metilēn-bis(2-hloranilīns) (CAS Nr. 101-14-4), </w:t>
            </w:r>
          </w:p>
          <w:p w14:paraId="5556247F"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4,4'-oksidianilīns (CAS Nr. 101-80-4), </w:t>
            </w:r>
          </w:p>
          <w:p w14:paraId="64C2F4A0"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4,4'-tiodianilīns (CAS Nr. 139-65-1), </w:t>
            </w:r>
          </w:p>
          <w:p w14:paraId="262F8BD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o-toluidīns (CAS Nr. 95-53-4), </w:t>
            </w:r>
          </w:p>
          <w:p w14:paraId="0913CE2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2,4-diaminotoluols (CAS Nr. 95-80-7), </w:t>
            </w:r>
          </w:p>
          <w:p w14:paraId="57D7B5D5"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2,4,5-trimetilanilīns (CAS Nr. 137-17-7), </w:t>
            </w:r>
          </w:p>
          <w:p w14:paraId="09679129"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4-aminoazobenzols (CAS Nr. 60-09-3), </w:t>
            </w:r>
          </w:p>
          <w:p w14:paraId="65389122"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o-anizidīns (CAS Nr. 90-04-0). </w:t>
            </w:r>
          </w:p>
          <w:p w14:paraId="4624AAE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 UGUNSAIZSARDZĪBAS ĶĪMISKIE LĪDZEKĻI </w:t>
            </w:r>
          </w:p>
          <w:p w14:paraId="07BC584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Gatavos izstrādājumos neizmanto šādus ugunsaizsardzības ķīmiskos līdzekļus: </w:t>
            </w:r>
          </w:p>
          <w:p w14:paraId="5F943E4A" w14:textId="77777777" w:rsidR="000D67AB" w:rsidRPr="004A1D98" w:rsidRDefault="000D67AB" w:rsidP="00AB1BBF">
            <w:pPr>
              <w:numPr>
                <w:ilvl w:val="0"/>
                <w:numId w:val="40"/>
              </w:numPr>
              <w:suppressAutoHyphens/>
              <w:autoSpaceDN w:val="0"/>
              <w:spacing w:after="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PBB (polibrombifenili) (CAS Nr. 59536-65-1), </w:t>
            </w:r>
          </w:p>
          <w:p w14:paraId="55267F30" w14:textId="77777777" w:rsidR="000D67AB" w:rsidRPr="004A1D98" w:rsidRDefault="000D67AB" w:rsidP="00AB1BBF">
            <w:pPr>
              <w:numPr>
                <w:ilvl w:val="0"/>
                <w:numId w:val="40"/>
              </w:numPr>
              <w:suppressAutoHyphens/>
              <w:autoSpaceDN w:val="0"/>
              <w:spacing w:after="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penta-BDE (pentabromdifenilēteris) (CAS Nr. 32534-81-9), </w:t>
            </w:r>
          </w:p>
          <w:p w14:paraId="40EA3A44" w14:textId="77777777" w:rsidR="000D67AB" w:rsidRPr="004A1D98" w:rsidRDefault="000D67AB" w:rsidP="00AB1BBF">
            <w:pPr>
              <w:numPr>
                <w:ilvl w:val="0"/>
                <w:numId w:val="40"/>
              </w:numPr>
              <w:suppressAutoHyphens/>
              <w:autoSpaceDN w:val="0"/>
              <w:spacing w:after="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okta-BDE (oktabromdifenilēteris) (CAS Nr. 32536-52-9),</w:t>
            </w:r>
          </w:p>
          <w:p w14:paraId="74CA16C5" w14:textId="77777777" w:rsidR="000D67AB" w:rsidRPr="004A1D98" w:rsidRDefault="000D67AB" w:rsidP="00AB1BBF">
            <w:pPr>
              <w:numPr>
                <w:ilvl w:val="0"/>
                <w:numId w:val="40"/>
              </w:numPr>
              <w:suppressAutoHyphens/>
              <w:autoSpaceDN w:val="0"/>
              <w:spacing w:after="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deka-BDE (dekabromdifenilēteris) (CAS Nr. 1163-19-5). </w:t>
            </w:r>
          </w:p>
          <w:p w14:paraId="07D87C2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5. PENTAHLORFENOLS UN TETRAHLORFENOLS </w:t>
            </w:r>
          </w:p>
          <w:p w14:paraId="171EBB8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Gatavos izstrādājumos, kas izgatavoti no kokvilnas vai citām dabīgām celulozes šķiedrām, pentahlorfenola saturs nepārsniedz 0,5 miljondaļas. </w:t>
            </w:r>
          </w:p>
          <w:p w14:paraId="110C229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 FTALĀTU MĪKSTINĀŠANAS LĪDZEKĻI </w:t>
            </w:r>
          </w:p>
          <w:p w14:paraId="19972BA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Gatavos izstrādājumos, kas nonāk tiešā saskarē ar ādu, šādu ftalātu mīkstināšanas līdzekļu saturs nepārsniedz 0,1 masas procentu: </w:t>
            </w:r>
          </w:p>
          <w:p w14:paraId="5772A618"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DEHP (di(2-etilheksil)ftalāts) (CAS Nr. 117-81-7), </w:t>
            </w:r>
          </w:p>
          <w:p w14:paraId="645ACD4B"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BBP (butilbenzilftalāts) (CAS Nr. 85-68-7), </w:t>
            </w:r>
          </w:p>
          <w:p w14:paraId="0A82A9A4"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DBP (dibutilftalāts) (CAS Nr. 84-74-2), </w:t>
            </w:r>
          </w:p>
          <w:p w14:paraId="51B2A190"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DNOP (di-n-oktilftalāts), </w:t>
            </w:r>
          </w:p>
          <w:p w14:paraId="4CECF8D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DINP (diizononilftalāts), </w:t>
            </w:r>
          </w:p>
          <w:p w14:paraId="3A14112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DIDP (diizodecilftalāts), </w:t>
            </w:r>
          </w:p>
          <w:p w14:paraId="2EE3AB7D"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DIBP (diizobutilftalāts), </w:t>
            </w:r>
          </w:p>
          <w:p w14:paraId="6F36A077" w14:textId="77777777" w:rsidR="000D67AB" w:rsidRPr="004A1D98" w:rsidRDefault="000D67AB" w:rsidP="00AB1BBF">
            <w:pPr>
              <w:numPr>
                <w:ilvl w:val="0"/>
                <w:numId w:val="40"/>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TCEP (tris(2-hloretil)fosfāts). </w:t>
            </w:r>
          </w:p>
          <w:p w14:paraId="1DB6EF1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7. FORMALDEHĪDS </w:t>
            </w:r>
          </w:p>
          <w:p w14:paraId="0DFE202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Brīva un daļēji hidrolizējama formaldehīda daudzums gatavos izstrādājumos, kas nonāk tiešā saskarē ar ādu, nepārsniedz 70 ppm, bet visos pārējos gatavajos izstrādājumos 300 ppm. </w:t>
            </w:r>
          </w:p>
          <w:p w14:paraId="6923CB0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8. SMAGIE METĀLI </w:t>
            </w:r>
          </w:p>
          <w:p w14:paraId="1D31F15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Kadmija (Cd), hroma (Cr), niķeļa (Ni), svina (Pb) un vara (Cu) daudzums gatavos izstrādājumos nepārsniedz šādas robežvērtības: </w:t>
            </w:r>
          </w:p>
          <w:p w14:paraId="2003755D" w14:textId="77777777" w:rsidR="000D67AB" w:rsidRPr="004A1D98" w:rsidRDefault="000D67AB" w:rsidP="00AB1BBF">
            <w:pPr>
              <w:numPr>
                <w:ilvl w:val="0"/>
                <w:numId w:val="41"/>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kadmijs (Cd) 0,1 ppm, </w:t>
            </w:r>
          </w:p>
          <w:p w14:paraId="3FBA2875" w14:textId="77777777" w:rsidR="000D67AB" w:rsidRPr="004A1D98" w:rsidRDefault="000D67AB" w:rsidP="00AB1BBF">
            <w:pPr>
              <w:numPr>
                <w:ilvl w:val="0"/>
                <w:numId w:val="41"/>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hroms (Cr) 2,0 ppm, </w:t>
            </w:r>
          </w:p>
          <w:p w14:paraId="63AEE8C5" w14:textId="77777777" w:rsidR="000D67AB" w:rsidRPr="004A1D98" w:rsidRDefault="000D67AB" w:rsidP="00AB1BBF">
            <w:pPr>
              <w:numPr>
                <w:ilvl w:val="0"/>
                <w:numId w:val="41"/>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niķelis (Ni) 4,0 ppm, </w:t>
            </w:r>
          </w:p>
          <w:p w14:paraId="4824A65B" w14:textId="77777777" w:rsidR="000D67AB" w:rsidRPr="004A1D98" w:rsidRDefault="000D67AB" w:rsidP="00AB1BBF">
            <w:pPr>
              <w:numPr>
                <w:ilvl w:val="0"/>
                <w:numId w:val="41"/>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svins (Pb) 1,0 ppm, </w:t>
            </w:r>
          </w:p>
          <w:p w14:paraId="410ED444" w14:textId="77777777" w:rsidR="000D67AB" w:rsidRPr="004A1D98" w:rsidRDefault="000D67AB" w:rsidP="00AB1BBF">
            <w:pPr>
              <w:numPr>
                <w:ilvl w:val="0"/>
                <w:numId w:val="41"/>
              </w:numPr>
              <w:suppressAutoHyphens/>
              <w:autoSpaceDN w:val="0"/>
              <w:spacing w:before="100" w:after="100" w:line="240" w:lineRule="auto"/>
              <w:ind w:left="0"/>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varš (Cu) 50,0 ppm. </w:t>
            </w:r>
          </w:p>
          <w:p w14:paraId="70F1FB0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 KRĀSNOTURĪBA UN FORMAS STABILITĀTE </w:t>
            </w:r>
          </w:p>
          <w:p w14:paraId="0E395DC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Attiecībā uz krāsnoturību un formas stabilitāti izstrādājumiem jāatbilst šādam prasību minimumam. </w:t>
            </w:r>
          </w:p>
          <w:tbl>
            <w:tblPr>
              <w:tblW w:w="4736" w:type="dxa"/>
              <w:tblCellMar>
                <w:left w:w="10" w:type="dxa"/>
                <w:right w:w="10" w:type="dxa"/>
              </w:tblCellMar>
              <w:tblLook w:val="04A0" w:firstRow="1" w:lastRow="0" w:firstColumn="1" w:lastColumn="0" w:noHBand="0" w:noVBand="1"/>
            </w:tblPr>
            <w:tblGrid>
              <w:gridCol w:w="2168"/>
              <w:gridCol w:w="2184"/>
              <w:gridCol w:w="1772"/>
            </w:tblGrid>
            <w:tr w:rsidR="000D67AB" w:rsidRPr="004A1D98" w14:paraId="5C582C6B"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00B96" w14:textId="77777777" w:rsidR="000D67AB" w:rsidRPr="004A1D98" w:rsidRDefault="000D67AB" w:rsidP="00426910">
                  <w:pPr>
                    <w:suppressAutoHyphens/>
                    <w:autoSpaceDN w:val="0"/>
                    <w:spacing w:before="100" w:after="10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Parametrs</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96756" w14:textId="77777777" w:rsidR="000D67AB" w:rsidRPr="004A1D98" w:rsidRDefault="000D67AB" w:rsidP="00426910">
                  <w:pPr>
                    <w:suppressAutoHyphens/>
                    <w:autoSpaceDN w:val="0"/>
                    <w:spacing w:before="100" w:after="10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Kritēriji</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E3304" w14:textId="77777777" w:rsidR="000D67AB" w:rsidRPr="004A1D98" w:rsidRDefault="000D67AB" w:rsidP="00426910">
                  <w:pPr>
                    <w:suppressAutoHyphens/>
                    <w:autoSpaceDN w:val="0"/>
                    <w:spacing w:before="100" w:after="10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Testēšanas metode</w:t>
                  </w:r>
                </w:p>
              </w:tc>
            </w:tr>
            <w:tr w:rsidR="000D67AB" w:rsidRPr="004A1D98" w14:paraId="1DF890E7"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CEA6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9.1. Izmēru maiņa mazgājot un žāvējot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9299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Plus vai mīnus 2 procenti aizkariem un mēbeļaudumiem, kas ir mazgājami un noņemami. </w:t>
                  </w:r>
                </w:p>
                <w:p w14:paraId="4DAE4EB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No mīnus 8 procenti līdz plus 4 procenti citiem austiem izstrādājumiem, izturīgiem neaustiem izstrādājumiem, citiem trikotāžas izstrādājumiem un dvieļu frotē audumiem.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EA4C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Piemērojamie standarti. </w:t>
                  </w:r>
                </w:p>
                <w:p w14:paraId="53D498D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tc>
            </w:tr>
            <w:tr w:rsidR="000D67AB" w:rsidRPr="004A1D98" w14:paraId="794BB0D3"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BC01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9.2. Krāsnoturība mazgājot </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5FC5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Vismaz 3.–4. līmenis attiecībā uz krāsas maiņu. </w:t>
                  </w:r>
                </w:p>
                <w:p w14:paraId="638E6D5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Vismaz 3.–4. līmenis attiecībā uz krāsojuma plankumainību.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5BDB5"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Piemērojamie standarti.</w:t>
                  </w:r>
                </w:p>
              </w:tc>
            </w:tr>
            <w:tr w:rsidR="000D67AB" w:rsidRPr="004A1D98" w14:paraId="7DF3C343"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B9A5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9.3. Krāsnoturība pret sviedriem (skābiem, sārmainiem) </w:t>
                  </w:r>
                </w:p>
                <w:p w14:paraId="08EC057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9AF1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Vismaz 3.–4. līmenis (attiecībā uz krāsas maiņu un krāsojuma plankumainību). </w:t>
                  </w:r>
                </w:p>
                <w:p w14:paraId="5FDF0CE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3. līmenis, ja audums ir tumšā krāsā (standarta dziļums &gt;1/1) un izgatavots no reģenerētas vilnas vai satur vairāk nekā 20 procenti zīda.</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EC3F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Piemērojamie standarti.</w:t>
                  </w:r>
                </w:p>
                <w:p w14:paraId="6AB0066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r>
            <w:tr w:rsidR="000D67AB" w:rsidRPr="004A1D98" w14:paraId="3159A513"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6D39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9.4. Krāsnoturība pret berzi mitrā veidā </w:t>
                  </w:r>
                </w:p>
                <w:p w14:paraId="3440BB4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E323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Vismaz 2.–3. līmenis. </w:t>
                  </w:r>
                </w:p>
                <w:p w14:paraId="62B95F7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Ar indigo krāsotam rupjam kokvilnas audumam pieļaujams 2. līmenis.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133BF"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Piemērojamie standarti.</w:t>
                  </w:r>
                </w:p>
                <w:p w14:paraId="697B117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r>
            <w:tr w:rsidR="000D67AB" w:rsidRPr="004A1D98" w14:paraId="5546FB53"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8F2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9.5. Krāsnoturība pret berzi sausā veidā </w:t>
                  </w:r>
                </w:p>
                <w:p w14:paraId="4A66054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A31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Vismaz 4. līmenis. </w:t>
                  </w:r>
                </w:p>
                <w:p w14:paraId="4C52B68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Ar indigo krāsotam rupjam kokvilnas audumam pieļaujams 3.–4. līmenis.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2145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Piemērojamie standarti.  </w:t>
                  </w:r>
                </w:p>
                <w:p w14:paraId="484334A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r>
            <w:tr w:rsidR="000D67AB" w:rsidRPr="004A1D98" w14:paraId="4E0EBF89" w14:textId="77777777" w:rsidTr="000A7815">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47C2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9.6. Krāsnoturība pret gaismu </w:t>
                  </w:r>
                </w:p>
                <w:p w14:paraId="55BB348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A71B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Mēbeļaudumiem, aizkaru audumiem un drapēriju audumiem vismaz 4.–5. līmenis. </w:t>
                  </w:r>
                </w:p>
                <w:p w14:paraId="1C49311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Visiem pārējiem izstrādājumiem vismaz 4. līmenis. </w:t>
                  </w:r>
                </w:p>
                <w:p w14:paraId="3EEC9D9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Pieļaujams 4. līmenis, ja mēbeļaudums, aizkaru audums vai drapēriju audums ir gaišā krāsā (standarta dziļums &lt;1/12) un satur vairāk nekā 20 procenti vilnas vai citu keratīna šķiedru vai vairāk nekā 20 procenti zīda, vai vairāk nekā 20 procenti linšķiedras vai citu lūksnšķiedru. </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57A3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ja-JP"/>
                    </w:rPr>
                    <w:t xml:space="preserve">Piemērojamie standarti. </w:t>
                  </w:r>
                </w:p>
              </w:tc>
            </w:tr>
          </w:tbl>
          <w:p w14:paraId="26D6DB0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tc>
      </w:tr>
      <w:tr w:rsidR="000D67AB" w:rsidRPr="004A1D98" w14:paraId="26EA1B3D" w14:textId="77777777" w:rsidTr="000A7815">
        <w:trPr>
          <w:trHeight w:val="552"/>
        </w:trPr>
        <w:tc>
          <w:tcPr>
            <w:tcW w:w="2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DC4A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62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E9F4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proporcionāli šādu šķiedru daļai. </w:t>
            </w:r>
          </w:p>
          <w:p w14:paraId="7E21217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BIOLOĢISKI RAŽOTAS KOKVILNAS VAI CITAS DABĪGAS ŠĶIEDRAS </w:t>
            </w:r>
          </w:p>
          <w:p w14:paraId="580D8E5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Piegādātājam jānorāda, kāda masas daļa no gatavos izstrādājumos izmantotajām kokvilnas vai citām dabīgām šķiedrām ir ražotas bioloģiski. Lai šķiedru uzskatītu par bioloģiski ražotu, tās izcelsmes kultūrai jābūt ražotai saskaņā ar Regulu (EK) Nr. 834/2007</w:t>
            </w:r>
            <w:r w:rsidRPr="004A1D98">
              <w:rPr>
                <w:rFonts w:ascii="Times New Roman" w:eastAsia="Times New Roman" w:hAnsi="Times New Roman" w:cs="Times New Roman"/>
                <w:b/>
                <w:bCs/>
                <w:color w:val="000000"/>
                <w:sz w:val="28"/>
                <w:szCs w:val="28"/>
                <w:shd w:val="clear" w:color="auto" w:fill="FFFFFF"/>
                <w:lang w:val="lv-LV" w:eastAsia="ja-JP"/>
              </w:rPr>
              <w:t xml:space="preserve"> "</w:t>
            </w:r>
            <w:r w:rsidRPr="004A1D98">
              <w:rPr>
                <w:rFonts w:ascii="Times New Roman" w:eastAsia="Times New Roman" w:hAnsi="Times New Roman" w:cs="Times New Roman"/>
                <w:bCs/>
                <w:color w:val="000000"/>
                <w:sz w:val="28"/>
                <w:szCs w:val="28"/>
                <w:shd w:val="clear" w:color="auto" w:fill="FFFFFF"/>
                <w:lang w:val="lv-LV" w:eastAsia="ja-JP"/>
              </w:rPr>
              <w:t>Par bioloģisko ražošanu un bioloģisko produktu marķēšanu un par Regulas (EEK) Nr. 2092/91 atcelšanu"</w:t>
            </w:r>
            <w:r w:rsidRPr="004A1D98">
              <w:rPr>
                <w:rFonts w:ascii="Times New Roman" w:eastAsia="Times New Roman" w:hAnsi="Times New Roman" w:cs="Times New Roman"/>
                <w:color w:val="000000"/>
                <w:sz w:val="28"/>
                <w:szCs w:val="28"/>
                <w:lang w:val="lv-LV" w:eastAsia="ja-JP"/>
              </w:rPr>
              <w:t xml:space="preserve">. </w:t>
            </w:r>
          </w:p>
          <w:p w14:paraId="1B19D3B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 RECIKLĒTAS ŠĶIEDRAS </w:t>
            </w:r>
          </w:p>
          <w:p w14:paraId="48DB7A2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Piegādātājam jānorāda, kādu masas daļu izstrādājumos veido reciklētas šķiedras, t.i., šķiedras, kas iegūtas tikai no tekstilpreču un apģērbu ražošanas atgriezumiem vai no pēclietošanas atkritumiem (tekstilmateriālu vai citiem atkritumiem). </w:t>
            </w:r>
          </w:p>
        </w:tc>
      </w:tr>
    </w:tbl>
    <w:p w14:paraId="3949668D" w14:textId="7D67B11E" w:rsidR="000D67AB" w:rsidRPr="004A1D98" w:rsidRDefault="000D67AB" w:rsidP="00C87D9F">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364E97">
        <w:rPr>
          <w:rFonts w:ascii="Times New Roman" w:eastAsia="MS Gothic" w:hAnsi="Times New Roman" w:cs="Times New Roman"/>
          <w:b/>
          <w:bCs/>
          <w:color w:val="000000"/>
          <w:sz w:val="28"/>
          <w:szCs w:val="28"/>
          <w:lang w:val="lv-LV" w:eastAsia="lv-LV"/>
        </w:rPr>
        <w:t>2</w:t>
      </w:r>
      <w:r w:rsidRPr="004A1D98">
        <w:rPr>
          <w:rFonts w:ascii="Times New Roman" w:eastAsia="MS Gothic" w:hAnsi="Times New Roman" w:cs="Times New Roman"/>
          <w:b/>
          <w:bCs/>
          <w:color w:val="000000"/>
          <w:sz w:val="28"/>
          <w:szCs w:val="28"/>
          <w:lang w:val="lv-LV" w:eastAsia="lv-LV"/>
        </w:rPr>
        <w:t>. </w:t>
      </w:r>
      <w:r w:rsidR="00435616">
        <w:rPr>
          <w:rFonts w:ascii="Times New Roman" w:eastAsia="MS Gothic" w:hAnsi="Times New Roman" w:cs="Times New Roman"/>
          <w:b/>
          <w:bCs/>
          <w:color w:val="000000"/>
          <w:sz w:val="28"/>
          <w:szCs w:val="28"/>
          <w:lang w:val="lv-LV" w:eastAsia="lv-LV"/>
        </w:rPr>
        <w:t>Sabiedrisko transportlīdzekļu un atkritumu savākšanas transportlīdzekļu iegāde vai pakalpojumi</w:t>
      </w:r>
    </w:p>
    <w:p w14:paraId="4FEFFE92" w14:textId="77777777" w:rsidR="000D67AB" w:rsidRPr="004A1D98" w:rsidRDefault="000D67AB" w:rsidP="00426910">
      <w:pPr>
        <w:spacing w:after="0" w:line="240" w:lineRule="auto"/>
        <w:rPr>
          <w:rFonts w:ascii="Times New Roman" w:eastAsia="Times New Roman" w:hAnsi="Times New Roman" w:cs="Times New Roman"/>
          <w:sz w:val="28"/>
          <w:szCs w:val="28"/>
          <w:lang w:val="lv-LV" w:eastAsia="lv-LV"/>
        </w:rPr>
      </w:pPr>
    </w:p>
    <w:p w14:paraId="45060E97" w14:textId="0E02B720"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Prasības un kritēriji attiecas uz </w:t>
      </w:r>
      <w:r w:rsidR="00197275">
        <w:rPr>
          <w:rFonts w:ascii="Times New Roman" w:eastAsia="Times New Roman" w:hAnsi="Times New Roman" w:cs="Times New Roman"/>
          <w:color w:val="000000"/>
          <w:sz w:val="28"/>
          <w:szCs w:val="28"/>
          <w:lang w:val="lv-LV" w:eastAsia="en-GB"/>
        </w:rPr>
        <w:t xml:space="preserve">divām </w:t>
      </w:r>
      <w:r w:rsidRPr="004A1D98">
        <w:rPr>
          <w:rFonts w:ascii="Times New Roman" w:eastAsia="Times New Roman" w:hAnsi="Times New Roman" w:cs="Times New Roman"/>
          <w:color w:val="000000"/>
          <w:sz w:val="28"/>
          <w:szCs w:val="28"/>
          <w:lang w:val="lv-LV" w:eastAsia="en-GB"/>
        </w:rPr>
        <w:t xml:space="preserve"> ražojumu grupām: </w:t>
      </w:r>
    </w:p>
    <w:p w14:paraId="776F39D9" w14:textId="745C26CE" w:rsidR="00C87D9F" w:rsidRPr="004A1D98" w:rsidRDefault="000D67AB" w:rsidP="00AB1BBF">
      <w:pPr>
        <w:numPr>
          <w:ilvl w:val="0"/>
          <w:numId w:val="42"/>
        </w:numPr>
        <w:suppressAutoHyphens/>
        <w:autoSpaceDN w:val="0"/>
        <w:spacing w:after="120" w:line="264" w:lineRule="auto"/>
        <w:ind w:left="0" w:firstLine="0"/>
        <w:jc w:val="both"/>
        <w:textAlignment w:val="baseline"/>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jaun</w:t>
      </w:r>
      <w:r w:rsidR="00C67C7A">
        <w:rPr>
          <w:rFonts w:ascii="Times New Roman" w:eastAsia="Times New Roman" w:hAnsi="Times New Roman" w:cs="Times New Roman"/>
          <w:color w:val="000000"/>
          <w:sz w:val="28"/>
          <w:szCs w:val="28"/>
          <w:lang w:val="lv-LV" w:eastAsia="en-GB"/>
        </w:rPr>
        <w:t>u</w:t>
      </w:r>
      <w:r w:rsidRPr="004A1D98">
        <w:rPr>
          <w:rFonts w:ascii="Times New Roman" w:eastAsia="Times New Roman" w:hAnsi="Times New Roman" w:cs="Times New Roman"/>
          <w:color w:val="000000"/>
          <w:sz w:val="28"/>
          <w:szCs w:val="28"/>
          <w:lang w:val="lv-LV" w:eastAsia="en-GB"/>
        </w:rPr>
        <w:t xml:space="preserve"> sabiedrisk</w:t>
      </w:r>
      <w:r w:rsidR="00C67C7A">
        <w:rPr>
          <w:rFonts w:ascii="Times New Roman" w:eastAsia="Times New Roman" w:hAnsi="Times New Roman" w:cs="Times New Roman"/>
          <w:color w:val="000000"/>
          <w:sz w:val="28"/>
          <w:szCs w:val="28"/>
          <w:lang w:val="lv-LV" w:eastAsia="en-GB"/>
        </w:rPr>
        <w:t>o</w:t>
      </w:r>
      <w:r w:rsidRPr="004A1D98">
        <w:rPr>
          <w:rFonts w:ascii="Times New Roman" w:eastAsia="Times New Roman" w:hAnsi="Times New Roman" w:cs="Times New Roman"/>
          <w:color w:val="000000"/>
          <w:sz w:val="28"/>
          <w:szCs w:val="28"/>
          <w:lang w:val="lv-LV" w:eastAsia="en-GB"/>
        </w:rPr>
        <w:t xml:space="preserve"> transportlīdzekļ</w:t>
      </w:r>
      <w:r w:rsidR="008671F8">
        <w:rPr>
          <w:rFonts w:ascii="Times New Roman" w:eastAsia="Times New Roman" w:hAnsi="Times New Roman" w:cs="Times New Roman"/>
          <w:color w:val="000000"/>
          <w:sz w:val="28"/>
          <w:szCs w:val="28"/>
          <w:lang w:val="lv-LV" w:eastAsia="en-GB"/>
        </w:rPr>
        <w:t>u iegāde</w:t>
      </w:r>
      <w:r w:rsidRPr="004A1D98">
        <w:rPr>
          <w:rFonts w:ascii="Times New Roman" w:eastAsia="Times New Roman" w:hAnsi="Times New Roman" w:cs="Times New Roman"/>
          <w:color w:val="000000"/>
          <w:sz w:val="28"/>
          <w:szCs w:val="28"/>
          <w:lang w:val="lv-LV" w:eastAsia="en-GB"/>
        </w:rPr>
        <w:t xml:space="preserve"> un sabiedriskā transporta pakalpojumi;</w:t>
      </w:r>
    </w:p>
    <w:p w14:paraId="00FB5D1B" w14:textId="3B242E85" w:rsidR="000D67AB" w:rsidRPr="004A1D98" w:rsidRDefault="000D67AB" w:rsidP="00AB1BBF">
      <w:pPr>
        <w:numPr>
          <w:ilvl w:val="0"/>
          <w:numId w:val="42"/>
        </w:numPr>
        <w:suppressAutoHyphens/>
        <w:autoSpaceDN w:val="0"/>
        <w:spacing w:after="120" w:line="264" w:lineRule="auto"/>
        <w:ind w:left="0" w:firstLine="0"/>
        <w:jc w:val="both"/>
        <w:textAlignment w:val="baseline"/>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jaun</w:t>
      </w:r>
      <w:r w:rsidR="004E5FF4">
        <w:rPr>
          <w:rFonts w:ascii="Times New Roman" w:eastAsia="Times New Roman" w:hAnsi="Times New Roman" w:cs="Times New Roman"/>
          <w:color w:val="000000"/>
          <w:sz w:val="28"/>
          <w:szCs w:val="28"/>
          <w:lang w:val="lv-LV" w:eastAsia="en-GB"/>
        </w:rPr>
        <w:t>u</w:t>
      </w:r>
      <w:r w:rsidRPr="004A1D98">
        <w:rPr>
          <w:rFonts w:ascii="Times New Roman" w:eastAsia="Times New Roman" w:hAnsi="Times New Roman" w:cs="Times New Roman"/>
          <w:color w:val="000000"/>
          <w:sz w:val="28"/>
          <w:szCs w:val="28"/>
          <w:lang w:val="lv-LV" w:eastAsia="en-GB"/>
        </w:rPr>
        <w:t xml:space="preserve"> atkritumu savākšanas </w:t>
      </w:r>
      <w:r w:rsidR="00435616">
        <w:rPr>
          <w:rFonts w:ascii="Times New Roman" w:eastAsia="Times New Roman" w:hAnsi="Times New Roman" w:cs="Times New Roman"/>
          <w:color w:val="000000"/>
          <w:sz w:val="28"/>
          <w:szCs w:val="28"/>
          <w:lang w:val="lv-LV" w:eastAsia="en-GB"/>
        </w:rPr>
        <w:t>transportlīdzekļ</w:t>
      </w:r>
      <w:r w:rsidR="008671F8">
        <w:rPr>
          <w:rFonts w:ascii="Times New Roman" w:eastAsia="Times New Roman" w:hAnsi="Times New Roman" w:cs="Times New Roman"/>
          <w:color w:val="000000"/>
          <w:sz w:val="28"/>
          <w:szCs w:val="28"/>
          <w:lang w:val="lv-LV" w:eastAsia="en-GB"/>
        </w:rPr>
        <w:t>u iegāde</w:t>
      </w:r>
      <w:r w:rsidR="00435616" w:rsidRPr="004A1D98">
        <w:rPr>
          <w:rFonts w:ascii="Times New Roman" w:eastAsia="Times New Roman" w:hAnsi="Times New Roman" w:cs="Times New Roman"/>
          <w:color w:val="000000"/>
          <w:sz w:val="28"/>
          <w:szCs w:val="28"/>
          <w:lang w:val="lv-LV" w:eastAsia="en-GB"/>
        </w:rPr>
        <w:t xml:space="preserve"> </w:t>
      </w:r>
      <w:r w:rsidRPr="004A1D98">
        <w:rPr>
          <w:rFonts w:ascii="Times New Roman" w:eastAsia="Times New Roman" w:hAnsi="Times New Roman" w:cs="Times New Roman"/>
          <w:color w:val="000000"/>
          <w:sz w:val="28"/>
          <w:szCs w:val="28"/>
          <w:lang w:val="lv-LV" w:eastAsia="en-GB"/>
        </w:rPr>
        <w:t>un pakalpojumi.</w:t>
      </w:r>
    </w:p>
    <w:p w14:paraId="462F81EA" w14:textId="348AFE55" w:rsidR="000D67AB" w:rsidRPr="004A1D98" w:rsidRDefault="000D67AB" w:rsidP="00426910">
      <w:pPr>
        <w:shd w:val="clear" w:color="auto" w:fill="FFFFFF"/>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Piedāvātie kritēriji ir jāskata kopā ar </w:t>
      </w:r>
      <w:r w:rsidRPr="00304B3D">
        <w:rPr>
          <w:rFonts w:ascii="Times New Roman" w:eastAsia="Times New Roman" w:hAnsi="Times New Roman" w:cs="Times New Roman"/>
          <w:bCs/>
          <w:color w:val="000000"/>
          <w:sz w:val="28"/>
          <w:szCs w:val="28"/>
          <w:lang w:val="lv-LV"/>
        </w:rPr>
        <w:t xml:space="preserve"> </w:t>
      </w:r>
      <w:r w:rsidRPr="00304B3D">
        <w:rPr>
          <w:rFonts w:ascii="Times New Roman" w:eastAsia="Times New Roman" w:hAnsi="Times New Roman" w:cs="Times New Roman"/>
          <w:color w:val="000000"/>
          <w:sz w:val="28"/>
          <w:szCs w:val="28"/>
          <w:lang w:val="lv-LV"/>
        </w:rPr>
        <w:t>2013. gada 25. jūnija Mi</w:t>
      </w:r>
      <w:r w:rsidRPr="00304B3D">
        <w:rPr>
          <w:rFonts w:ascii="Times New Roman" w:eastAsia="Times New Roman" w:hAnsi="Times New Roman" w:cs="Times New Roman"/>
          <w:bCs/>
          <w:color w:val="000000"/>
          <w:sz w:val="28"/>
          <w:szCs w:val="28"/>
          <w:lang w:val="lv-LV"/>
        </w:rPr>
        <w:t>nistru kabineta noteikumiem Nr. 351 "</w:t>
      </w:r>
      <w:r w:rsidRPr="00304B3D">
        <w:rPr>
          <w:rFonts w:ascii="Times New Roman" w:eastAsia="Times New Roman" w:hAnsi="Times New Roman" w:cs="Times New Roman"/>
          <w:color w:val="000000"/>
          <w:sz w:val="28"/>
          <w:szCs w:val="28"/>
          <w:lang w:val="lv-LV"/>
        </w:rPr>
        <w:t> </w:t>
      </w:r>
      <w:r w:rsidRPr="00304B3D">
        <w:rPr>
          <w:rFonts w:ascii="Times New Roman" w:eastAsia="Times New Roman" w:hAnsi="Times New Roman" w:cs="Times New Roman"/>
          <w:bCs/>
          <w:color w:val="000000"/>
          <w:sz w:val="28"/>
          <w:szCs w:val="28"/>
          <w:lang w:val="lv-LV"/>
        </w:rPr>
        <w:t>Sabiedrisko autotransporta līdzekļu iepirkuma noteikumi" un citiem saistītiem tiesību aktiem</w:t>
      </w:r>
      <w:r w:rsidRPr="00304B3D">
        <w:rPr>
          <w:rFonts w:ascii="Times New Roman" w:eastAsia="Times New Roman" w:hAnsi="Times New Roman" w:cs="Times New Roman"/>
          <w:color w:val="000000"/>
          <w:sz w:val="28"/>
          <w:szCs w:val="28"/>
          <w:lang w:val="lv-LV"/>
        </w:rPr>
        <w:t>.</w:t>
      </w:r>
      <w:r w:rsidRPr="004A1D98">
        <w:rPr>
          <w:rFonts w:ascii="Times New Roman" w:eastAsia="Times New Roman" w:hAnsi="Times New Roman" w:cs="Times New Roman"/>
          <w:color w:val="000000"/>
          <w:sz w:val="28"/>
          <w:szCs w:val="28"/>
          <w:lang w:val="lv-LV"/>
        </w:rPr>
        <w:t xml:space="preserve"> </w:t>
      </w:r>
    </w:p>
    <w:p w14:paraId="06DA55F4" w14:textId="77777777" w:rsidR="000D67AB" w:rsidRPr="004A1D98" w:rsidRDefault="000D67AB" w:rsidP="00426910">
      <w:pPr>
        <w:spacing w:after="0" w:line="240" w:lineRule="auto"/>
        <w:rPr>
          <w:rFonts w:ascii="Times New Roman" w:eastAsia="Times New Roman" w:hAnsi="Times New Roman" w:cs="Times New Roman"/>
          <w:sz w:val="28"/>
          <w:szCs w:val="28"/>
          <w:lang w:val="lv-LV"/>
        </w:rPr>
      </w:pPr>
    </w:p>
    <w:p w14:paraId="7CB3151A" w14:textId="77777777" w:rsidR="000D67AB" w:rsidRPr="004A1D98" w:rsidRDefault="000D67AB" w:rsidP="00426910">
      <w:pPr>
        <w:spacing w:after="120" w:line="264" w:lineRule="auto"/>
        <w:jc w:val="both"/>
        <w:rPr>
          <w:rFonts w:ascii="Times New Roman" w:eastAsia="Times New Roman" w:hAnsi="Times New Roman" w:cs="Times New Roman"/>
          <w:sz w:val="28"/>
          <w:szCs w:val="28"/>
          <w:lang w:val="lv-LV"/>
        </w:rPr>
      </w:pPr>
    </w:p>
    <w:p w14:paraId="7D3D720A" w14:textId="7EF33976"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1</w:t>
      </w:r>
      <w:r w:rsidR="00364E97">
        <w:rPr>
          <w:rFonts w:ascii="Times New Roman" w:eastAsia="MS Gothic" w:hAnsi="Times New Roman" w:cs="Times New Roman"/>
          <w:b/>
          <w:bCs/>
          <w:color w:val="000000"/>
          <w:sz w:val="28"/>
          <w:szCs w:val="28"/>
          <w:lang w:val="lv-LV"/>
        </w:rPr>
        <w:t>2.1.</w:t>
      </w:r>
      <w:r w:rsidRPr="004A1D98">
        <w:rPr>
          <w:rFonts w:ascii="Times New Roman" w:eastAsia="MS Gothic" w:hAnsi="Times New Roman" w:cs="Times New Roman"/>
          <w:b/>
          <w:bCs/>
          <w:color w:val="000000"/>
          <w:sz w:val="28"/>
          <w:szCs w:val="28"/>
          <w:lang w:val="lv-LV"/>
        </w:rPr>
        <w:t>. ZPI prasības un kritēriji jaun</w:t>
      </w:r>
      <w:r w:rsidR="00BA4220">
        <w:rPr>
          <w:rFonts w:ascii="Times New Roman" w:eastAsia="MS Gothic" w:hAnsi="Times New Roman" w:cs="Times New Roman"/>
          <w:b/>
          <w:bCs/>
          <w:color w:val="000000"/>
          <w:sz w:val="28"/>
          <w:szCs w:val="28"/>
          <w:lang w:val="lv-LV"/>
        </w:rPr>
        <w:t>u</w:t>
      </w:r>
      <w:r w:rsidRPr="004A1D98">
        <w:rPr>
          <w:rFonts w:ascii="Times New Roman" w:eastAsia="MS Gothic" w:hAnsi="Times New Roman" w:cs="Times New Roman"/>
          <w:b/>
          <w:bCs/>
          <w:color w:val="000000"/>
          <w:sz w:val="28"/>
          <w:szCs w:val="28"/>
          <w:lang w:val="lv-LV"/>
        </w:rPr>
        <w:t xml:space="preserve"> sabiedrisk</w:t>
      </w:r>
      <w:r w:rsidR="00BA4220">
        <w:rPr>
          <w:rFonts w:ascii="Times New Roman" w:eastAsia="MS Gothic" w:hAnsi="Times New Roman" w:cs="Times New Roman"/>
          <w:b/>
          <w:bCs/>
          <w:color w:val="000000"/>
          <w:sz w:val="28"/>
          <w:szCs w:val="28"/>
          <w:lang w:val="lv-LV"/>
        </w:rPr>
        <w:t>o</w:t>
      </w:r>
      <w:r w:rsidRPr="004A1D98">
        <w:rPr>
          <w:rFonts w:ascii="Times New Roman" w:eastAsia="MS Gothic" w:hAnsi="Times New Roman" w:cs="Times New Roman"/>
          <w:b/>
          <w:bCs/>
          <w:color w:val="000000"/>
          <w:sz w:val="28"/>
          <w:szCs w:val="28"/>
          <w:lang w:val="lv-LV"/>
        </w:rPr>
        <w:t xml:space="preserve"> transportlīdzekļ</w:t>
      </w:r>
      <w:r w:rsidR="00BA4220">
        <w:rPr>
          <w:rFonts w:ascii="Times New Roman" w:eastAsia="MS Gothic" w:hAnsi="Times New Roman" w:cs="Times New Roman"/>
          <w:b/>
          <w:bCs/>
          <w:color w:val="000000"/>
          <w:sz w:val="28"/>
          <w:szCs w:val="28"/>
          <w:lang w:val="lv-LV"/>
        </w:rPr>
        <w:t xml:space="preserve">u iegādei </w:t>
      </w:r>
      <w:r w:rsidRPr="004A1D98">
        <w:rPr>
          <w:rFonts w:ascii="Times New Roman" w:eastAsia="MS Gothic" w:hAnsi="Times New Roman" w:cs="Times New Roman"/>
          <w:b/>
          <w:bCs/>
          <w:color w:val="000000"/>
          <w:sz w:val="28"/>
          <w:szCs w:val="28"/>
          <w:lang w:val="lv-LV"/>
        </w:rPr>
        <w:t xml:space="preserve"> (autobusu iepirkums)</w:t>
      </w:r>
    </w:p>
    <w:tbl>
      <w:tblPr>
        <w:tblW w:w="8500" w:type="dxa"/>
        <w:tblCellMar>
          <w:left w:w="10" w:type="dxa"/>
          <w:right w:w="10" w:type="dxa"/>
        </w:tblCellMar>
        <w:tblLook w:val="04A0" w:firstRow="1" w:lastRow="0" w:firstColumn="1" w:lastColumn="0" w:noHBand="0" w:noVBand="1"/>
      </w:tblPr>
      <w:tblGrid>
        <w:gridCol w:w="1740"/>
        <w:gridCol w:w="6760"/>
      </w:tblGrid>
      <w:tr w:rsidR="000D67AB" w:rsidRPr="004A1D98" w14:paraId="116D44F5"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94CE38B"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Iepirkuma dokumentu sastāvdaļas</w:t>
            </w:r>
          </w:p>
        </w:tc>
        <w:tc>
          <w:tcPr>
            <w:tcW w:w="697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C2135A"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ZPI prasības un kritēriji</w:t>
            </w:r>
          </w:p>
        </w:tc>
      </w:tr>
      <w:tr w:rsidR="000D67AB" w:rsidRPr="004A1D98" w14:paraId="6FD07B59"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B15A4" w14:textId="77777777" w:rsidR="000D67AB" w:rsidRPr="004A1D98" w:rsidRDefault="000D67AB" w:rsidP="00426910">
            <w:pPr>
              <w:spacing w:after="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priekšmets</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9F59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Autobusu ar zemu emisiju līmeni iegāde vai iznomāšana. </w:t>
            </w:r>
          </w:p>
        </w:tc>
      </w:tr>
      <w:tr w:rsidR="000D67AB" w:rsidRPr="004A1D98" w14:paraId="1524B1DE" w14:textId="77777777" w:rsidTr="000A7815">
        <w:trPr>
          <w:trHeight w:val="558"/>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8F414"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Tehniskās specifikācijas</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868B9"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5EB669A8"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rPr>
              <w:t>Visu pakalpojumu sniegšanā izmantoto transportlīdzekļu dzinējiem ir jāatbilst EURO V atgāzu emisijas standartam saskaņā ar Ministru kabineta 2009. gada 22. decembra noteikumiem Nr.1494  "Mopēdu, mehānisko transportlīdzekļu, to piekabju un sastāvdaļu atbilstības novērtēšanas noteikumi"</w:t>
            </w:r>
            <w:r w:rsidRPr="004A1D98">
              <w:rPr>
                <w:rFonts w:ascii="Times New Roman" w:eastAsia="Times New Roman" w:hAnsi="Times New Roman" w:cs="Times New Roman"/>
                <w:bCs/>
                <w:color w:val="000000"/>
                <w:sz w:val="28"/>
                <w:szCs w:val="28"/>
                <w:lang w:val="lv-LV"/>
              </w:rPr>
              <w:t xml:space="preserve"> 11. pielikuma 41. iedaļā </w:t>
            </w:r>
            <w:r w:rsidRPr="004A1D98">
              <w:rPr>
                <w:rFonts w:ascii="Times New Roman" w:eastAsia="Times New Roman" w:hAnsi="Times New Roman" w:cs="Times New Roman"/>
                <w:color w:val="000000"/>
                <w:sz w:val="28"/>
                <w:szCs w:val="28"/>
                <w:lang w:val="lv-LV" w:eastAsia="ja-JP"/>
              </w:rPr>
              <w:t>noteiktajām "EURO V" emisiju robežvērtībām.</w:t>
            </w:r>
          </w:p>
          <w:p w14:paraId="170033D1" w14:textId="77777777" w:rsidR="000D67AB" w:rsidRPr="004A1D98" w:rsidRDefault="000D67AB" w:rsidP="00426910">
            <w:pPr>
              <w:spacing w:after="120" w:line="264" w:lineRule="auto"/>
              <w:jc w:val="both"/>
              <w:rPr>
                <w:rFonts w:ascii="Times New Roman" w:eastAsia="Times New Roman" w:hAnsi="Times New Roman" w:cs="Times New Roman"/>
                <w:sz w:val="28"/>
                <w:szCs w:val="28"/>
                <w:lang w:val="lv-LV"/>
              </w:rPr>
            </w:pPr>
            <w:r w:rsidRPr="004A1D98">
              <w:rPr>
                <w:rFonts w:ascii="Times New Roman" w:eastAsia="Times New Roman" w:hAnsi="Times New Roman" w:cs="Times New Roman"/>
                <w:sz w:val="28"/>
                <w:szCs w:val="28"/>
                <w:lang w:val="lv-LV"/>
              </w:rPr>
              <w:t>Ja transportlīdzekļi nav sertificēti kā atbilstoši EURO V standartam, bet ar vēlāk veiktiem tehniskiem uzlabojumiem ir panākts standartam atbilstošs rezultāts, tas jādokumentē iepirkuma procedūras dokumentācijā.</w:t>
            </w:r>
          </w:p>
          <w:p w14:paraId="7DD08DF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TROKŠŅA EMISIJAS </w:t>
            </w:r>
          </w:p>
          <w:p w14:paraId="44E37A60"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Pakalpojuma sniegšanā izmantoto transportlīdzekļu trokšņa līmenim jābūt zemākam, nekā noteikts tiesību aktos. </w:t>
            </w:r>
          </w:p>
          <w:p w14:paraId="65DA8486"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3. TRANSPORTLĪDZEKĻU RIEPAS — TROKSNIS </w:t>
            </w:r>
          </w:p>
          <w:p w14:paraId="0B1AE5B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Transportlīdzekļiem ir jābūt aprīkotiem ar riepām, kuru trokšņa emisijas līmenis ir mazāks par </w:t>
            </w:r>
            <w:r w:rsidRPr="004A1D98">
              <w:rPr>
                <w:rFonts w:ascii="Times New Roman" w:eastAsia="Times New Roman" w:hAnsi="Times New Roman" w:cs="Times New Roman"/>
                <w:bCs/>
                <w:color w:val="000000"/>
                <w:sz w:val="28"/>
                <w:szCs w:val="28"/>
                <w:lang w:val="lv-LV" w:eastAsia="en-GB"/>
              </w:rPr>
              <w:t>Eiropas Parlamenta un Padomes 2009. gada 13. jūlija Regulas (EK) Nr. 661/2009 par tipa apstiprināšanas prasībām attiecībā uz mehānisko transportlīdzekļu, to piekabju un tiem paredzēto sistēmu, sastāvdaļu un atsevišķu tehnisko vienību vispārējo drošību</w:t>
            </w:r>
            <w:r w:rsidRPr="004A1D98">
              <w:rPr>
                <w:rFonts w:ascii="Times New Roman" w:eastAsia="Times New Roman" w:hAnsi="Times New Roman" w:cs="Times New Roman"/>
                <w:color w:val="000000"/>
                <w:sz w:val="28"/>
                <w:szCs w:val="28"/>
                <w:lang w:val="lv-LV"/>
              </w:rPr>
              <w:t xml:space="preserve"> II pielikuma C daļā noteikto maksimālo līmeni. Tas atbilst divām (no trim pieejamajām) augstākajām ES riepu marķējuma ārējā rites trokšņa klases kategorijām.</w:t>
            </w:r>
          </w:p>
          <w:p w14:paraId="21EC746E"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Piegādātājam ir jāapņemas izmantot zemas rites pretestības riepas. Rites pretestībai (gan jaunām riepām, gan riepām ar atjaunotu protektoru), kas izteikta kilogramos uz tonnu (kg/t), jāatbilst šādām robežvērtībām, saskaņā ar piemērojamiem standartiem. </w:t>
            </w:r>
          </w:p>
          <w:tbl>
            <w:tblPr>
              <w:tblW w:w="4731" w:type="dxa"/>
              <w:tblCellMar>
                <w:left w:w="10" w:type="dxa"/>
                <w:right w:w="10" w:type="dxa"/>
              </w:tblCellMar>
              <w:tblLook w:val="04A0" w:firstRow="1" w:lastRow="0" w:firstColumn="1" w:lastColumn="0" w:noHBand="0" w:noVBand="1"/>
            </w:tblPr>
            <w:tblGrid>
              <w:gridCol w:w="1019"/>
              <w:gridCol w:w="1461"/>
              <w:gridCol w:w="2251"/>
            </w:tblGrid>
            <w:tr w:rsidR="000D67AB" w:rsidRPr="004A1D98" w14:paraId="482C931C" w14:textId="77777777" w:rsidTr="000A7815">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B619A" w14:textId="77777777" w:rsidR="000D67AB" w:rsidRPr="004A1D98" w:rsidRDefault="000D67AB" w:rsidP="00426910">
                  <w:pPr>
                    <w:spacing w:before="100" w:after="10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Riepas klase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C08EC" w14:textId="77777777" w:rsidR="000D67AB" w:rsidRPr="004A1D98" w:rsidRDefault="000D67AB" w:rsidP="00426910">
                  <w:pPr>
                    <w:spacing w:before="100" w:after="10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Maksimālā rites pretestība (kg/t) </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ED26" w14:textId="77777777" w:rsidR="000D67AB" w:rsidRPr="004A1D98" w:rsidRDefault="000D67AB" w:rsidP="00426910">
                  <w:pPr>
                    <w:spacing w:before="100" w:after="10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Riepu marķējuma degvielas patēriņa efektivitātes klase </w:t>
                  </w:r>
                </w:p>
              </w:tc>
            </w:tr>
            <w:tr w:rsidR="000D67AB" w:rsidRPr="004A1D98" w14:paraId="53231FEE" w14:textId="77777777" w:rsidTr="000A7815">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47DD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DD903"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9,2</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B0B74"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E</w:t>
                  </w:r>
                </w:p>
              </w:tc>
            </w:tr>
            <w:tr w:rsidR="000D67AB" w:rsidRPr="004A1D98" w14:paraId="38E2BE69" w14:textId="77777777" w:rsidTr="000A7815">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CCF8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2D86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7</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614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D</w:t>
                  </w:r>
                </w:p>
              </w:tc>
            </w:tr>
          </w:tbl>
          <w:p w14:paraId="6DAF8A26"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Šie rādītāji attiecas uz dzenošajiem riteņiem, kā arī riteņiem ar citām īpašām funkcijām. Izmantotajām dzītā tilta riepām ir jābūt mazākai rites pretestībai nekā tām, ko izmanto piedziņai vai īpašām funkcijām.</w:t>
            </w:r>
          </w:p>
          <w:p w14:paraId="0253C301"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4. RIEPU SPIEDIENA KONTROLES SISTĒMAS (TPMS) </w:t>
            </w:r>
          </w:p>
          <w:p w14:paraId="626C9FC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Visiem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p w14:paraId="7C399743"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5. EKOLOĢISKA BRAUKŠANA </w:t>
            </w:r>
          </w:p>
          <w:p w14:paraId="486CE89D"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Autobusos ir informācija/norādījumi par ekoloģisku braukšanu, kas atbilst transportlīdzeklim. </w:t>
            </w:r>
          </w:p>
        </w:tc>
      </w:tr>
      <w:tr w:rsidR="000D67AB" w:rsidRPr="004A1D98" w14:paraId="656836A0" w14:textId="77777777" w:rsidTr="000A7815">
        <w:trPr>
          <w:trHeight w:val="977"/>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85B87"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Piedāvājuma izvērtēšanas kritēriji</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C27A2"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Papildu punkti tiek piešķirti par šādu kritēriju izpildi. </w:t>
            </w:r>
          </w:p>
          <w:p w14:paraId="2039204F"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4A9941DA"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To pakalpojuma sniegšanā izmantoto transportlīdzekļu proporcija, kas atbilst EURO VI atgāzu emisijas standartam saskaņā ar Eiropas Parlamenta un Padomes Regula (EK) Nr. 595/2009 (2009. gada 18. jūnijs) par mehānisko transportlīdzekļu un motoru tipa apstiprinājumu attiecībā uz lielas celtspējas/kravnesības transportlīdzekļu radītām emisijām ( Euro VI), par piekļuvi transportlīdzekļu remonta un tehniskās apkopes informācijai, par grozījumiem Regulā (EK) Nr. 715/2007 un Direktīvā 2007/46/EK un par Direktīvu 80/1269/EEK, 2005/55/EK un 2005/78/EK atcelšanu I pielikuma tabulā noteiktajām "Euro VI" emisijas robežvērtībām.</w:t>
            </w:r>
          </w:p>
          <w:p w14:paraId="74802926"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ALTERNATĪVAS DEGVIELAS IZMANTOŠANA </w:t>
            </w:r>
          </w:p>
          <w:p w14:paraId="4A413F1A" w14:textId="77777777" w:rsidR="000D67AB"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To transportlīdzekļu proporcija, kuri var izmantot alternatīvus degvielas veidus vai sistēmas (piem., biodegvielu, elektrības, ūdeņraža vai hibrīdsistēmas, dabasgāzi).</w:t>
            </w:r>
          </w:p>
          <w:p w14:paraId="73B798A7" w14:textId="7CDFF70A" w:rsidR="001C0288" w:rsidRPr="004A1D98" w:rsidRDefault="001C0288"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Pr>
                <w:rFonts w:ascii="Times New Roman" w:eastAsia="Times New Roman" w:hAnsi="Times New Roman" w:cs="Times New Roman"/>
                <w:color w:val="000000"/>
                <w:sz w:val="28"/>
                <w:szCs w:val="28"/>
                <w:lang w:val="lv-LV" w:eastAsia="en-GB"/>
              </w:rPr>
              <w:t>Bezemisiju transportlīdzeklim piešķir maksimālo punktu</w:t>
            </w:r>
            <w:r w:rsidR="004D7034">
              <w:rPr>
                <w:rFonts w:ascii="Times New Roman" w:eastAsia="Times New Roman" w:hAnsi="Times New Roman" w:cs="Times New Roman"/>
                <w:color w:val="000000"/>
                <w:sz w:val="28"/>
                <w:szCs w:val="28"/>
                <w:lang w:val="lv-LV" w:eastAsia="en-GB"/>
              </w:rPr>
              <w:t xml:space="preserve"> skaitu.</w:t>
            </w:r>
            <w:r>
              <w:rPr>
                <w:rFonts w:ascii="Times New Roman" w:eastAsia="Times New Roman" w:hAnsi="Times New Roman" w:cs="Times New Roman"/>
                <w:color w:val="000000"/>
                <w:sz w:val="28"/>
                <w:szCs w:val="28"/>
                <w:lang w:val="lv-LV" w:eastAsia="en-GB"/>
              </w:rPr>
              <w:t xml:space="preserve"> </w:t>
            </w:r>
          </w:p>
        </w:tc>
      </w:tr>
    </w:tbl>
    <w:p w14:paraId="6A0490FB" w14:textId="77777777" w:rsidR="000D67AB" w:rsidRPr="004A1D98" w:rsidRDefault="000D67AB" w:rsidP="00426910">
      <w:pPr>
        <w:spacing w:after="120" w:line="264" w:lineRule="auto"/>
        <w:rPr>
          <w:rFonts w:ascii="Times New Roman" w:eastAsia="Times New Roman" w:hAnsi="Times New Roman" w:cs="Times New Roman"/>
          <w:sz w:val="28"/>
          <w:szCs w:val="28"/>
          <w:lang w:val="lv-LV"/>
        </w:rPr>
      </w:pPr>
    </w:p>
    <w:p w14:paraId="4C3AECDC" w14:textId="53F05502"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1</w:t>
      </w:r>
      <w:r w:rsidR="00364E97">
        <w:rPr>
          <w:rFonts w:ascii="Times New Roman" w:eastAsia="MS Gothic" w:hAnsi="Times New Roman" w:cs="Times New Roman"/>
          <w:b/>
          <w:bCs/>
          <w:color w:val="000000"/>
          <w:sz w:val="28"/>
          <w:szCs w:val="28"/>
          <w:lang w:val="lv-LV"/>
        </w:rPr>
        <w:t>2.2.</w:t>
      </w:r>
      <w:r w:rsidRPr="004A1D98">
        <w:rPr>
          <w:rFonts w:ascii="Times New Roman" w:eastAsia="MS Gothic" w:hAnsi="Times New Roman" w:cs="Times New Roman"/>
          <w:b/>
          <w:bCs/>
          <w:color w:val="000000"/>
          <w:sz w:val="28"/>
          <w:szCs w:val="28"/>
          <w:lang w:val="lv-LV"/>
        </w:rPr>
        <w:t>. ZPI prasības un kritēriji sabiedriskā transporta pakalpojumiem</w:t>
      </w:r>
    </w:p>
    <w:p w14:paraId="0B9DA18C" w14:textId="77777777" w:rsidR="000D67AB" w:rsidRPr="004A1D98" w:rsidRDefault="000D67AB" w:rsidP="00426910">
      <w:pPr>
        <w:spacing w:after="0" w:line="240" w:lineRule="auto"/>
        <w:rPr>
          <w:rFonts w:ascii="Times New Roman" w:eastAsia="Times New Roman" w:hAnsi="Times New Roman" w:cs="Times New Roman"/>
          <w:sz w:val="28"/>
          <w:szCs w:val="28"/>
          <w:lang w:val="lv-LV"/>
        </w:rPr>
      </w:pPr>
    </w:p>
    <w:tbl>
      <w:tblPr>
        <w:tblW w:w="8500" w:type="dxa"/>
        <w:tblCellMar>
          <w:left w:w="10" w:type="dxa"/>
          <w:right w:w="10" w:type="dxa"/>
        </w:tblCellMar>
        <w:tblLook w:val="04A0" w:firstRow="1" w:lastRow="0" w:firstColumn="1" w:lastColumn="0" w:noHBand="0" w:noVBand="1"/>
      </w:tblPr>
      <w:tblGrid>
        <w:gridCol w:w="1740"/>
        <w:gridCol w:w="6760"/>
      </w:tblGrid>
      <w:tr w:rsidR="000D67AB" w:rsidRPr="004A1D98" w14:paraId="096D0DF1"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94B215F"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Iepirkuma dokumentu sastāvdaļas</w:t>
            </w:r>
          </w:p>
        </w:tc>
        <w:tc>
          <w:tcPr>
            <w:tcW w:w="6974"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24C051E"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ZPI prasības un kritēriji</w:t>
            </w:r>
          </w:p>
        </w:tc>
      </w:tr>
      <w:tr w:rsidR="000D67AB" w:rsidRPr="004A1D98" w14:paraId="49197911"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C9950"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priekšmets</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265D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Līgums par sabiedriskā transporta (autobusu satiksme) pakalpojumu sniegšanu videi nekaitīgā veidā. </w:t>
            </w:r>
          </w:p>
        </w:tc>
      </w:tr>
      <w:tr w:rsidR="000D67AB" w:rsidRPr="004A1D98" w14:paraId="536924CF"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4F19"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Tehniskās specifikācijas</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56EB0"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3584327A"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rPr>
              <w:t>Visu pakalpojumu sniegšanā izmantoto transportlīdzekļu dzinējiem ir jāatbilst EURO V atgāzu emisijas standartam saskaņā ar Ministru kabineta 2009. gada 22. decembra noteikumiem Nr.1494  "Mopēdu, mehānisko transportlīdzekļu, to piekabju un sastāvdaļu atbilstības novērtēšanas noteikumi"</w:t>
            </w:r>
            <w:r w:rsidRPr="004A1D98">
              <w:rPr>
                <w:rFonts w:ascii="Times New Roman" w:eastAsia="Times New Roman" w:hAnsi="Times New Roman" w:cs="Times New Roman"/>
                <w:bCs/>
                <w:color w:val="000000"/>
                <w:sz w:val="28"/>
                <w:szCs w:val="28"/>
                <w:lang w:val="lv-LV"/>
              </w:rPr>
              <w:t xml:space="preserve"> 11. pielikuma 41. iedaļā </w:t>
            </w:r>
            <w:r w:rsidRPr="004A1D98">
              <w:rPr>
                <w:rFonts w:ascii="Times New Roman" w:eastAsia="Times New Roman" w:hAnsi="Times New Roman" w:cs="Times New Roman"/>
                <w:color w:val="000000"/>
                <w:sz w:val="28"/>
                <w:szCs w:val="28"/>
                <w:lang w:val="lv-LV" w:eastAsia="ja-JP"/>
              </w:rPr>
              <w:t>noteiktajām "EURO V" emisiju robežvērtībām.</w:t>
            </w:r>
          </w:p>
          <w:p w14:paraId="2B913250" w14:textId="77777777" w:rsidR="000D67AB" w:rsidRPr="004A1D98" w:rsidRDefault="000D67AB" w:rsidP="00426910">
            <w:pPr>
              <w:spacing w:after="120" w:line="264" w:lineRule="auto"/>
              <w:jc w:val="both"/>
              <w:rPr>
                <w:rFonts w:ascii="Times New Roman" w:eastAsia="Times New Roman" w:hAnsi="Times New Roman" w:cs="Times New Roman"/>
                <w:sz w:val="28"/>
                <w:szCs w:val="28"/>
                <w:lang w:val="lv-LV"/>
              </w:rPr>
            </w:pPr>
            <w:r w:rsidRPr="004A1D98">
              <w:rPr>
                <w:rFonts w:ascii="Times New Roman" w:eastAsia="Times New Roman" w:hAnsi="Times New Roman" w:cs="Times New Roman"/>
                <w:sz w:val="28"/>
                <w:szCs w:val="28"/>
                <w:lang w:val="lv-LV"/>
              </w:rPr>
              <w:t>Ja transportlīdzekļi nav sertificēti kā atbilstoši EURO V standartam, bet ar vēlāk veiktiem tehniskiem uzlabojumiem ir panākts standartam atbilstošs rezultāts, tas jādokumentē iepirkuma procedūras dokumentācijā.</w:t>
            </w:r>
          </w:p>
          <w:p w14:paraId="7C43DF2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TROKŠŅA EMISIJAS </w:t>
            </w:r>
          </w:p>
          <w:p w14:paraId="52D5E9C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Pakalpojuma sniegšanā izmantoto transportlīdzekļu trokšņa līmenim jābūt zemākam, nekā noteikts tiesību aktos. </w:t>
            </w:r>
          </w:p>
          <w:p w14:paraId="7376AA72"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3. TRANSPORTLĪDZEKĻU RIEPAS — TROKSNIS </w:t>
            </w:r>
          </w:p>
          <w:p w14:paraId="2A75BCD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Transportlīdzekļiem ir jābūt aprīkotiem ar riepām, kuru trokšņa emisijas līmenis ir mazāks par </w:t>
            </w:r>
            <w:r w:rsidRPr="004A1D98">
              <w:rPr>
                <w:rFonts w:ascii="Times New Roman" w:eastAsia="Times New Roman" w:hAnsi="Times New Roman" w:cs="Times New Roman"/>
                <w:bCs/>
                <w:color w:val="000000"/>
                <w:sz w:val="28"/>
                <w:szCs w:val="28"/>
                <w:lang w:val="lv-LV" w:eastAsia="en-GB"/>
              </w:rPr>
              <w:t>Eiropas Parlamenta un Padomes 2009. gada 13. jūlija Regulas (EK) Nr. 661/2009 par tipa apstiprināšanas prasībām attiecībā uz mehānisko transportlīdzekļu, to piekabju un tiem paredzēto sistēmu, sastāvdaļu un atsevišķu tehnisko vienību vispārējo drošību</w:t>
            </w:r>
            <w:r w:rsidRPr="004A1D98">
              <w:rPr>
                <w:rFonts w:ascii="Times New Roman" w:eastAsia="Times New Roman" w:hAnsi="Times New Roman" w:cs="Times New Roman"/>
                <w:color w:val="000000"/>
                <w:sz w:val="28"/>
                <w:szCs w:val="28"/>
                <w:lang w:val="lv-LV"/>
              </w:rPr>
              <w:t xml:space="preserve"> II pielikuma C daļā noteikto maksimālo līmeni. Tas atbilst divām (no trim pieejamajām) augstākajām ES riepu marķējuma ārējā rites trokšņa klases kategorijām.</w:t>
            </w:r>
          </w:p>
          <w:p w14:paraId="01DB6865" w14:textId="77777777" w:rsidR="000D67AB" w:rsidRPr="004A1D98" w:rsidRDefault="000D67AB" w:rsidP="00426910">
            <w:pPr>
              <w:spacing w:before="100" w:beforeAutospacing="1" w:after="10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Piegādātājam ir jāapņemas izmantot zemas rites pretestības riepas. Rites pretestībai (gan jaunām riepām, gan riepām ar atjaunotu protektoru), kas izteikta kilogramos uz tonnu (kg/t), jāatbilst šādām robežvērtībām, saskaņā ar piemērojamiem standartiem.: </w:t>
            </w:r>
          </w:p>
          <w:tbl>
            <w:tblPr>
              <w:tblW w:w="4731" w:type="dxa"/>
              <w:tblCellMar>
                <w:left w:w="10" w:type="dxa"/>
                <w:right w:w="10" w:type="dxa"/>
              </w:tblCellMar>
              <w:tblLook w:val="04A0" w:firstRow="1" w:lastRow="0" w:firstColumn="1" w:lastColumn="0" w:noHBand="0" w:noVBand="1"/>
            </w:tblPr>
            <w:tblGrid>
              <w:gridCol w:w="1019"/>
              <w:gridCol w:w="1461"/>
              <w:gridCol w:w="2251"/>
            </w:tblGrid>
            <w:tr w:rsidR="000D67AB" w:rsidRPr="004A1D98" w14:paraId="7C4973B6" w14:textId="77777777" w:rsidTr="000A7815">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092B4" w14:textId="77777777" w:rsidR="000D67AB" w:rsidRPr="004A1D98" w:rsidRDefault="000D67AB" w:rsidP="00426910">
                  <w:pPr>
                    <w:spacing w:before="100" w:after="10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Riepas klase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8DD16" w14:textId="77777777" w:rsidR="000D67AB" w:rsidRPr="004A1D98" w:rsidRDefault="000D67AB" w:rsidP="00426910">
                  <w:pPr>
                    <w:spacing w:before="100" w:after="10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Maksimālā rites pretestība (kg/t) </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6495F" w14:textId="77777777" w:rsidR="000D67AB" w:rsidRPr="004A1D98" w:rsidRDefault="000D67AB" w:rsidP="00426910">
                  <w:pPr>
                    <w:spacing w:before="100" w:after="10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Riepu marķējuma degvielas patēriņa efektivitātes klase </w:t>
                  </w:r>
                </w:p>
              </w:tc>
            </w:tr>
            <w:tr w:rsidR="000D67AB" w:rsidRPr="004A1D98" w14:paraId="7A16B8DD" w14:textId="77777777" w:rsidTr="000A7815">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901C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6287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9,2</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B8F7"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E</w:t>
                  </w:r>
                </w:p>
              </w:tc>
            </w:tr>
            <w:tr w:rsidR="000D67AB" w:rsidRPr="004A1D98" w14:paraId="1B5E20EA" w14:textId="77777777" w:rsidTr="000A7815">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EEE0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E19D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7</w:t>
                  </w:r>
                </w:p>
              </w:tc>
              <w:tc>
                <w:tcPr>
                  <w:tcW w:w="2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2601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D</w:t>
                  </w:r>
                </w:p>
              </w:tc>
            </w:tr>
          </w:tbl>
          <w:p w14:paraId="05216576"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Šie rādītāji attiecas uz dzenošajiem riteņiem, kā arī riteņiem ar citām īpašām funkcijām. Izmantotajām dzītā tilta riepām ir jābūt mazākai rites pretestībai nekā tām, ko izmanto piedziņai vai īpašām funkcijām.</w:t>
            </w:r>
          </w:p>
          <w:p w14:paraId="6D3E1909"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4. RIEPU SPIEDIENA KONTROLES SISTĒMAS (TPMS) </w:t>
            </w:r>
          </w:p>
          <w:p w14:paraId="02535ED1" w14:textId="77777777" w:rsidR="000D67AB" w:rsidRPr="004A1D98" w:rsidRDefault="000D67AB" w:rsidP="00426910">
            <w:pPr>
              <w:spacing w:after="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Visiem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tc>
      </w:tr>
      <w:tr w:rsidR="000D67AB" w:rsidRPr="004A1D98" w14:paraId="6100A11A"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5EB7A"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Piedāvājuma izvērtēšanas kritēriji</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75C5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Papildu punkti tiek piešķirti par šādu kritēriju izpildi. </w:t>
            </w:r>
          </w:p>
          <w:p w14:paraId="1C3F731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492E22D3"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To pakalpojuma sniegšanā izmantoto transportlīdzekļu proporcija, kas atbilst EURO VI atgāzu emisijas standartam saskaņā ar Eiropas Parlamenta un Padomes Regula (EK) Nr. 595/2009 (2009. gada 18. jūnijs) par mehānisko transportlīdzekļu un motoru tipa apstiprinājumu attiecībā uz lielas celtspējas/kravnesības transportlīdzekļu radītām emisijām ( Euro VI), par piekļuvi transportlīdzekļu remonta un tehniskās apkopes informācijai, par grozījumiem Regulā (EK) Nr. 715/2007 un Direktīvā 2007/46/EK un par Direktīvu 80/1269/EEK, 2005/55/EK un 2005/78/EK atcelšanu I pielikuma tabulā </w:t>
            </w:r>
            <w:r w:rsidRPr="004A1D98">
              <w:rPr>
                <w:rFonts w:ascii="Times New Roman" w:eastAsia="Times New Roman" w:hAnsi="Times New Roman" w:cs="Times New Roman"/>
                <w:bCs/>
                <w:color w:val="000000"/>
                <w:sz w:val="28"/>
                <w:szCs w:val="28"/>
                <w:lang w:val="lv-LV" w:eastAsia="en-GB"/>
              </w:rPr>
              <w:t>noteiktajām "Euro VI" emisijas robežvērtībām.</w:t>
            </w:r>
          </w:p>
          <w:p w14:paraId="09FAD5B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ALTERNATĪVAS DEGVIELAS IZMANTOŠANA </w:t>
            </w:r>
          </w:p>
          <w:p w14:paraId="5E970FE6" w14:textId="77777777" w:rsidR="000D67AB"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To transportlīdzekļu proporcija, kuri var izmantot alternatīvus degvielas veidus vai sistēmas (piem., biodegvielu, elektrības, ūdeņraža vai hibrīdsistēmas, dabasgāzi). </w:t>
            </w:r>
          </w:p>
          <w:p w14:paraId="76E597E2" w14:textId="2E0BC5B6" w:rsidR="00FA58DB" w:rsidRPr="004A1D98" w:rsidRDefault="00FA58D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Pr>
                <w:rFonts w:ascii="Times New Roman" w:eastAsia="Times New Roman" w:hAnsi="Times New Roman" w:cs="Times New Roman"/>
                <w:color w:val="000000"/>
                <w:sz w:val="28"/>
                <w:szCs w:val="28"/>
                <w:lang w:val="lv-LV" w:eastAsia="en-GB"/>
              </w:rPr>
              <w:t xml:space="preserve">Bezemisiju transportlīdzeklim piešķir maksimālo punktu skaitu. </w:t>
            </w:r>
          </w:p>
        </w:tc>
      </w:tr>
      <w:tr w:rsidR="000D67AB" w:rsidRPr="004A1D98" w14:paraId="05A8F362"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140C7"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izpildes noteikumi</w:t>
            </w:r>
          </w:p>
        </w:tc>
        <w:tc>
          <w:tcPr>
            <w:tcW w:w="6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F066F"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JAUNI TRANSPORTLĪDZEKĻI </w:t>
            </w:r>
          </w:p>
          <w:p w14:paraId="05F698C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Visiem jaunajiem transportlīdzekļiem, kas iegādāti pēc līgumtiesību piešķiršanas un ko izmanto pakalpojuma sniegšanai līguma darbības periodā, ir jāatbilst EURO VI atgāzu emisijas standartam saskaņā ar Eiropas Parlamenta un Padomes Regula (EK) Nr. 595/2009 ( 2009. gada 18. jūnijs) par mehānisko transportlīdzekļu un motoru tipa apstiprinājumu attiecībā uz lielas celtspējas/kravnesības transportlīdzekļu radītām emisijām (Euro VI), par piekļuvi transportlīdzekļu remonta un tehniskās apkopes informācijai, par grozījumiem Regulā (EK) Nr. 715/2007 un Direktīvā 2007/46/EK un par Direktīvu 80/1269/EEK, 2005/55/EK un 2005/78/EK atcelšanu I pielikuma tabulā </w:t>
            </w:r>
            <w:r w:rsidRPr="004A1D98">
              <w:rPr>
                <w:rFonts w:ascii="Times New Roman" w:eastAsia="Times New Roman" w:hAnsi="Times New Roman" w:cs="Times New Roman"/>
                <w:bCs/>
                <w:color w:val="000000"/>
                <w:sz w:val="28"/>
                <w:szCs w:val="28"/>
                <w:lang w:val="lv-LV" w:eastAsia="en-GB"/>
              </w:rPr>
              <w:t xml:space="preserve">noteiktajām "Euro VI" emisijas robežvērtībām, </w:t>
            </w:r>
            <w:r w:rsidRPr="004A1D98">
              <w:rPr>
                <w:rFonts w:ascii="Times New Roman" w:eastAsia="Times New Roman" w:hAnsi="Times New Roman" w:cs="Times New Roman"/>
                <w:color w:val="000000"/>
                <w:sz w:val="28"/>
                <w:szCs w:val="28"/>
                <w:lang w:val="lv-LV" w:eastAsia="en-GB"/>
              </w:rPr>
              <w:t xml:space="preserve">un tie jāaprīko ar RSKS (riepu spiediena kontroles sistēma). Transportlīdzekļa izplūdes gāzu izpūtējs nedrīkst atrasties tajā pašā pusē, kur pasažieru durvis. </w:t>
            </w:r>
          </w:p>
          <w:p w14:paraId="604FFCE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VADĪTĀJU APMĀCĪBA </w:t>
            </w:r>
          </w:p>
          <w:p w14:paraId="77A73337"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Visiem līguma darbības laikā pakalpojuma sniegšanā iesaistītajiem autovadītājiem atzītā apmācības iestādē ir regulāri jāapgūst vidi saudzējoša autovadīšana, lai palielinātu degvielas ekonomiju. </w:t>
            </w:r>
          </w:p>
          <w:p w14:paraId="6464AF60" w14:textId="77777777" w:rsidR="000D67AB" w:rsidRPr="004A1D98" w:rsidRDefault="000D67AB" w:rsidP="00426910">
            <w:pPr>
              <w:spacing w:after="120" w:line="264" w:lineRule="auto"/>
              <w:jc w:val="both"/>
              <w:rPr>
                <w:rFonts w:ascii="Times New Roman" w:eastAsia="Times New Roman" w:hAnsi="Times New Roman" w:cs="Times New Roman"/>
                <w:sz w:val="28"/>
                <w:szCs w:val="28"/>
                <w:lang w:val="lv-LV"/>
              </w:rPr>
            </w:pPr>
            <w:r w:rsidRPr="004A1D98">
              <w:rPr>
                <w:rFonts w:ascii="Times New Roman" w:eastAsia="Times New Roman" w:hAnsi="Times New Roman" w:cs="Times New Roman"/>
                <w:sz w:val="28"/>
                <w:szCs w:val="28"/>
                <w:lang w:val="lv-LV"/>
              </w:rPr>
              <w:t xml:space="preserve"> </w:t>
            </w:r>
          </w:p>
        </w:tc>
      </w:tr>
    </w:tbl>
    <w:p w14:paraId="3D8DB398" w14:textId="77777777" w:rsidR="000D67AB" w:rsidRPr="004A1D98" w:rsidRDefault="000D67AB" w:rsidP="00426910">
      <w:pPr>
        <w:spacing w:after="120" w:line="264" w:lineRule="auto"/>
        <w:rPr>
          <w:rFonts w:ascii="Times New Roman" w:eastAsia="Times New Roman" w:hAnsi="Times New Roman" w:cs="Times New Roman"/>
          <w:color w:val="000000"/>
          <w:sz w:val="28"/>
          <w:szCs w:val="28"/>
          <w:lang w:val="lv-LV"/>
        </w:rPr>
      </w:pPr>
    </w:p>
    <w:p w14:paraId="002FA284" w14:textId="259F04BA"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1</w:t>
      </w:r>
      <w:r w:rsidR="00B64B25">
        <w:rPr>
          <w:rFonts w:ascii="Times New Roman" w:eastAsia="MS Gothic" w:hAnsi="Times New Roman" w:cs="Times New Roman"/>
          <w:b/>
          <w:bCs/>
          <w:color w:val="000000"/>
          <w:sz w:val="28"/>
          <w:szCs w:val="28"/>
          <w:lang w:val="lv-LV"/>
        </w:rPr>
        <w:t>2</w:t>
      </w:r>
      <w:r w:rsidRPr="004A1D98">
        <w:rPr>
          <w:rFonts w:ascii="Times New Roman" w:eastAsia="MS Gothic" w:hAnsi="Times New Roman" w:cs="Times New Roman"/>
          <w:b/>
          <w:bCs/>
          <w:color w:val="000000"/>
          <w:sz w:val="28"/>
          <w:szCs w:val="28"/>
          <w:lang w:val="lv-LV"/>
        </w:rPr>
        <w:t>.</w:t>
      </w:r>
      <w:r w:rsidR="00B64B25">
        <w:rPr>
          <w:rFonts w:ascii="Times New Roman" w:eastAsia="MS Gothic" w:hAnsi="Times New Roman" w:cs="Times New Roman"/>
          <w:b/>
          <w:bCs/>
          <w:color w:val="000000"/>
          <w:sz w:val="28"/>
          <w:szCs w:val="28"/>
          <w:lang w:val="lv-LV"/>
        </w:rPr>
        <w:t>3</w:t>
      </w:r>
      <w:r w:rsidRPr="004A1D98">
        <w:rPr>
          <w:rFonts w:ascii="Times New Roman" w:eastAsia="MS Gothic" w:hAnsi="Times New Roman" w:cs="Times New Roman"/>
          <w:b/>
          <w:bCs/>
          <w:color w:val="000000"/>
          <w:sz w:val="28"/>
          <w:szCs w:val="28"/>
          <w:lang w:val="lv-LV"/>
        </w:rPr>
        <w:t>. ZPI prasības un kritēriji jauniem atkritumu savākšanas automobiļiem</w:t>
      </w:r>
    </w:p>
    <w:tbl>
      <w:tblPr>
        <w:tblW w:w="8642" w:type="dxa"/>
        <w:tblLayout w:type="fixed"/>
        <w:tblCellMar>
          <w:left w:w="10" w:type="dxa"/>
          <w:right w:w="10" w:type="dxa"/>
        </w:tblCellMar>
        <w:tblLook w:val="04A0" w:firstRow="1" w:lastRow="0" w:firstColumn="1" w:lastColumn="0" w:noHBand="0" w:noVBand="1"/>
      </w:tblPr>
      <w:tblGrid>
        <w:gridCol w:w="1526"/>
        <w:gridCol w:w="7116"/>
      </w:tblGrid>
      <w:tr w:rsidR="000D67AB" w:rsidRPr="004A1D98" w14:paraId="56B51B46"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E7A62B1"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Iepirkuma dokumentu sastāvdaļas</w:t>
            </w:r>
          </w:p>
        </w:tc>
        <w:tc>
          <w:tcPr>
            <w:tcW w:w="711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828F7BE"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ZPI prasības un kritēriji</w:t>
            </w:r>
          </w:p>
        </w:tc>
      </w:tr>
      <w:tr w:rsidR="000D67AB" w:rsidRPr="004A1D98" w14:paraId="6E9B1124"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431F4"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priekšmets</w:t>
            </w:r>
          </w:p>
        </w:tc>
        <w:tc>
          <w:tcPr>
            <w:tcW w:w="7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5D6290"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Atkritumu savākšanas kravas automobiļu ar zemu emisiju līmeni iegāde vai noma. </w:t>
            </w:r>
          </w:p>
        </w:tc>
      </w:tr>
      <w:tr w:rsidR="000D67AB" w:rsidRPr="004A1D98" w14:paraId="6996F082"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D8252"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Tehniskās specifikācijas</w:t>
            </w:r>
          </w:p>
        </w:tc>
        <w:tc>
          <w:tcPr>
            <w:tcW w:w="7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D6187"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35833470"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Transportlīdzekļu dzinējiem ir jāatbilst EURO VI atgāzu emisijas standartam saskaņā ar Eiropas Parlamenta un Padomes 2009. gada 18. jūnija Regulas (EK) Nr. 595/2009 par mehānisko transportlīdzekļu un motoru tipa apstiprinājumu attiecībā uz lielas celtspējas/kravnesības transportlīdzekļu radītām emisijām (Euro VI), par piekļuvi transportlīdzekļu remonta un tehniskās apkopes informācijai, par grozījumiem Regulā (EK) Nr. 715/2007 un Direktīvā 2007/46/EK un par Direktīvu 80/1269/EEK, 2005/55/EK un 2005/78/EK atcelšanu I pielikuma tabulā noteiktajām "Euro VI" emisijas robežvērtībām.</w:t>
            </w:r>
          </w:p>
          <w:p w14:paraId="057F6F9A"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2. TROKŠŅA EMISIJAS LĪMEŅI </w:t>
            </w:r>
          </w:p>
          <w:p w14:paraId="04E9224B" w14:textId="77777777" w:rsidR="000D67AB" w:rsidRPr="004A1D98" w:rsidRDefault="000D67AB" w:rsidP="00426910">
            <w:pPr>
              <w:widowControl w:val="0"/>
              <w:autoSpaceDE w:val="0"/>
              <w:autoSpaceDN w:val="0"/>
              <w:adjustRightInd w:val="0"/>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Transportlīdzekļa, ieskaitot sablīvēšanas aprīkojumu, trokšņa emisijas līmenim jābūt zemākam par 102dB (A), mērot saskaņā </w:t>
            </w:r>
            <w:r w:rsidRPr="004A1D98">
              <w:rPr>
                <w:rFonts w:ascii="Times New Roman" w:eastAsia="Times New Roman" w:hAnsi="Times New Roman" w:cs="Times New Roman"/>
                <w:bCs/>
                <w:color w:val="000000"/>
                <w:sz w:val="28"/>
                <w:szCs w:val="28"/>
                <w:lang w:val="lv-LV"/>
              </w:rPr>
              <w:t xml:space="preserve">Ministru kabineta </w:t>
            </w:r>
            <w:r w:rsidRPr="004A1D98">
              <w:rPr>
                <w:rFonts w:ascii="Times New Roman" w:eastAsia="Times New Roman" w:hAnsi="Times New Roman" w:cs="Times New Roman"/>
                <w:color w:val="000000"/>
                <w:sz w:val="28"/>
                <w:szCs w:val="28"/>
                <w:lang w:val="lv-LV"/>
              </w:rPr>
              <w:t xml:space="preserve">2002.gada 23.aprīļa </w:t>
            </w:r>
            <w:r w:rsidRPr="004A1D98">
              <w:rPr>
                <w:rFonts w:ascii="Times New Roman" w:eastAsia="Times New Roman" w:hAnsi="Times New Roman" w:cs="Times New Roman"/>
                <w:bCs/>
                <w:color w:val="000000"/>
                <w:sz w:val="28"/>
                <w:szCs w:val="28"/>
                <w:lang w:val="lv-LV"/>
              </w:rPr>
              <w:t>noteikumiem Nr.163</w:t>
            </w:r>
            <w:r w:rsidRPr="004A1D98">
              <w:rPr>
                <w:rFonts w:ascii="Times New Roman" w:eastAsia="Times New Roman" w:hAnsi="Times New Roman" w:cs="Times New Roman"/>
                <w:color w:val="000000"/>
                <w:sz w:val="28"/>
                <w:szCs w:val="28"/>
                <w:lang w:val="lv-LV"/>
              </w:rPr>
              <w:t xml:space="preserve"> "</w:t>
            </w:r>
            <w:r w:rsidRPr="004A1D98">
              <w:rPr>
                <w:rFonts w:ascii="Times New Roman" w:eastAsia="Times New Roman" w:hAnsi="Times New Roman" w:cs="Times New Roman"/>
                <w:bCs/>
                <w:color w:val="000000"/>
                <w:sz w:val="28"/>
                <w:szCs w:val="28"/>
                <w:lang w:val="lv-LV"/>
              </w:rPr>
              <w:t>Noteikumi par trokšņa emisiju no iekārtām, kuras izmanto ārpus telpām"</w:t>
            </w:r>
          </w:p>
          <w:p w14:paraId="7ED54553"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3.</w:t>
            </w:r>
            <w:r w:rsidRPr="004A1D98">
              <w:rPr>
                <w:rFonts w:ascii="Times New Roman" w:eastAsia="Times New Roman" w:hAnsi="Times New Roman" w:cs="Times New Roman"/>
                <w:b/>
                <w:color w:val="000000"/>
                <w:sz w:val="28"/>
                <w:szCs w:val="28"/>
                <w:lang w:val="lv-LV" w:eastAsia="en-GB"/>
              </w:rPr>
              <w:t xml:space="preserve"> </w:t>
            </w:r>
            <w:r w:rsidRPr="004A1D98">
              <w:rPr>
                <w:rFonts w:ascii="Times New Roman" w:eastAsia="Times New Roman" w:hAnsi="Times New Roman" w:cs="Times New Roman"/>
                <w:color w:val="000000"/>
                <w:sz w:val="28"/>
                <w:szCs w:val="28"/>
                <w:lang w:val="lv-LV" w:eastAsia="en-GB"/>
              </w:rPr>
              <w:t xml:space="preserve">TRANSPORTLĪDZEKĻU RIEPAS — TROKSNIS </w:t>
            </w:r>
          </w:p>
          <w:p w14:paraId="56D17630"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Transportlīdzekļiem ir jābūt aprīkotiem ar riepām, kuru trokšņa emisijas līmenis ir mazāks par </w:t>
            </w:r>
            <w:r w:rsidRPr="004A1D98">
              <w:rPr>
                <w:rFonts w:ascii="Times New Roman" w:eastAsia="Times New Roman" w:hAnsi="Times New Roman" w:cs="Times New Roman"/>
                <w:bCs/>
                <w:color w:val="000000"/>
                <w:sz w:val="28"/>
                <w:szCs w:val="28"/>
                <w:lang w:val="lv-LV" w:eastAsia="en-GB"/>
              </w:rPr>
              <w:t>Eiropas Parlamenta un Padomes 2009. gada 13. jūlija Regulas (EK) Nr. 661/2009 par tipa apstiprināšanas prasībām attiecībā uz mehānisko transportlīdzekļu, to piekabju un tiem paredzēto sistēmu, sastāvdaļu un atsevišķu tehnisko vienību vispārējo drošību</w:t>
            </w:r>
            <w:r w:rsidRPr="004A1D98">
              <w:rPr>
                <w:rFonts w:ascii="Times New Roman" w:eastAsia="Times New Roman" w:hAnsi="Times New Roman" w:cs="Times New Roman"/>
                <w:color w:val="000000"/>
                <w:sz w:val="28"/>
                <w:szCs w:val="28"/>
                <w:lang w:val="lv-LV"/>
              </w:rPr>
              <w:t xml:space="preserve"> II pielikuma C daļā noteikto maksimālo līmeni. Tas atbilst divām (no trim pieejamajām) augstākajām ES riepu marķējuma ārējā rites trokšņa klases kategorijām.</w:t>
            </w:r>
          </w:p>
          <w:p w14:paraId="3CB00526"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Piegādātājam ir jāapņemas izmantot zemas rites pretestības riepas. Rites pretestībai (gan jaunām riepām, gan riepām ar atjaunotu protektoru), kas izteikta kilogramos uz tonnu (kg/t), jāatbilst šādām robežvērtībām, saskaņā ar ISO 28580: 2009 "</w:t>
            </w:r>
            <w:r w:rsidRPr="004A1D98">
              <w:rPr>
                <w:rFonts w:ascii="Times New Roman" w:eastAsia="Times New Roman" w:hAnsi="Times New Roman" w:cs="Times New Roman"/>
                <w:color w:val="000000"/>
                <w:sz w:val="28"/>
                <w:szCs w:val="28"/>
                <w:lang w:val="lv-LV" w:eastAsia="en-GB"/>
              </w:rPr>
              <w:t>Vieglo automobiļu, kravas automobiļu un autobusu riepas. Rites pretestības mērīšanas metodes. Vienotā punkta tests un mērījumu rezultātu korelācija"</w:t>
            </w:r>
            <w:r w:rsidRPr="004A1D98">
              <w:rPr>
                <w:rFonts w:ascii="Times New Roman" w:eastAsia="Times New Roman" w:hAnsi="Times New Roman" w:cs="Times New Roman"/>
                <w:color w:val="000000"/>
                <w:sz w:val="28"/>
                <w:szCs w:val="28"/>
                <w:lang w:val="lv-LV"/>
              </w:rPr>
              <w:t xml:space="preserve"> vai līdzvērtīgu standartu: </w:t>
            </w:r>
          </w:p>
          <w:tbl>
            <w:tblPr>
              <w:tblW w:w="7207" w:type="dxa"/>
              <w:tblLayout w:type="fixed"/>
              <w:tblCellMar>
                <w:left w:w="10" w:type="dxa"/>
                <w:right w:w="10" w:type="dxa"/>
              </w:tblCellMar>
              <w:tblLook w:val="04A0" w:firstRow="1" w:lastRow="0" w:firstColumn="1" w:lastColumn="0" w:noHBand="0" w:noVBand="1"/>
            </w:tblPr>
            <w:tblGrid>
              <w:gridCol w:w="904"/>
              <w:gridCol w:w="2706"/>
              <w:gridCol w:w="3597"/>
            </w:tblGrid>
            <w:tr w:rsidR="000D67AB" w:rsidRPr="004A1D98" w14:paraId="08E647EF" w14:textId="77777777" w:rsidTr="000A7815">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26A5B" w14:textId="77777777" w:rsidR="000D67AB" w:rsidRPr="004A1D98" w:rsidRDefault="000D67AB" w:rsidP="00426910">
                  <w:pPr>
                    <w:spacing w:after="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Riepas klase </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6FFF3" w14:textId="77777777" w:rsidR="000D67AB" w:rsidRPr="004A1D98" w:rsidRDefault="000D67AB" w:rsidP="00426910">
                  <w:pPr>
                    <w:spacing w:after="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Maksimālā rites pretestība (kg/t) </w:t>
                  </w:r>
                </w:p>
              </w:tc>
              <w:tc>
                <w:tcPr>
                  <w:tcW w:w="3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5CD6A" w14:textId="77777777" w:rsidR="000D67AB" w:rsidRPr="004A1D98" w:rsidRDefault="000D67AB" w:rsidP="00426910">
                  <w:pPr>
                    <w:spacing w:after="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Riepu marķējuma degvielas patēriņa efektivitātes klase </w:t>
                  </w:r>
                </w:p>
              </w:tc>
            </w:tr>
            <w:tr w:rsidR="000D67AB" w:rsidRPr="004A1D98" w14:paraId="1F2D4EDF" w14:textId="77777777" w:rsidTr="000A7815">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48EF"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C2</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B9A4"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9,2</w:t>
                  </w:r>
                </w:p>
              </w:tc>
              <w:tc>
                <w:tcPr>
                  <w:tcW w:w="3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280A0"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E</w:t>
                  </w:r>
                </w:p>
              </w:tc>
            </w:tr>
            <w:tr w:rsidR="000D67AB" w:rsidRPr="004A1D98" w14:paraId="30C50742" w14:textId="77777777" w:rsidTr="000A7815">
              <w:tc>
                <w:tcPr>
                  <w:tcW w:w="9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853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C3</w:t>
                  </w:r>
                </w:p>
              </w:tc>
              <w:tc>
                <w:tcPr>
                  <w:tcW w:w="2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DB43D"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7</w:t>
                  </w:r>
                </w:p>
              </w:tc>
              <w:tc>
                <w:tcPr>
                  <w:tcW w:w="3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889A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D</w:t>
                  </w:r>
                </w:p>
              </w:tc>
            </w:tr>
          </w:tbl>
          <w:p w14:paraId="11B44F0A"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Šie rādītāji attiecas uz dzenošajiem riteņiem, kā arī riteņiem ar citām īpašām funkcijām. Izmantotajām dzītā tilta riepām ir jābūt mazākai rites pretestībai nekā tām, ko izmanto piedziņai vai īpašām funkcijām.</w:t>
            </w:r>
          </w:p>
          <w:p w14:paraId="4D48E0DD"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4. RIEPU SPIEDIENA KONTROLES SISTĒMAS (TPMS) </w:t>
            </w:r>
          </w:p>
          <w:p w14:paraId="7FE75AE5"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LCV un lieljaudas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tc>
      </w:tr>
      <w:tr w:rsidR="000D67AB" w:rsidRPr="004A1D98" w14:paraId="3A454075" w14:textId="77777777" w:rsidTr="000A7815">
        <w:trPr>
          <w:trHeight w:val="552"/>
        </w:trPr>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5AC07"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Piedāvājuma izvērtēšanas kritēriji</w:t>
            </w:r>
          </w:p>
        </w:tc>
        <w:tc>
          <w:tcPr>
            <w:tcW w:w="71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56B9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Papildu punkti tiek piešķirti par šādu kritēriju izpildi. </w:t>
            </w:r>
          </w:p>
          <w:p w14:paraId="182DAB5E" w14:textId="77777777" w:rsidR="000D67AB" w:rsidRPr="004A1D98" w:rsidRDefault="000D67AB" w:rsidP="00AB1BBF">
            <w:pPr>
              <w:numPr>
                <w:ilvl w:val="0"/>
                <w:numId w:val="64"/>
              </w:numPr>
              <w:spacing w:before="120" w:beforeAutospacing="1" w:after="120" w:afterAutospacing="1" w:line="264" w:lineRule="auto"/>
              <w:ind w:left="0"/>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ALTERNATĪVAS DEGVIELAS IZMANTOŠANA </w:t>
            </w:r>
          </w:p>
          <w:p w14:paraId="54EF7BB1" w14:textId="77777777" w:rsidR="000D67AB"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Transportlīdzekļa konstrukcija paredz alternatīvu degvielas veidu vai sistēmu izmantošanu (piemēram, biodegvielas, elektriskās, ūdeņraža vai hibrīdsistēmas). </w:t>
            </w:r>
          </w:p>
          <w:p w14:paraId="2B14065F" w14:textId="41CBFCD6" w:rsidR="000C1BFE" w:rsidRPr="004A1D98" w:rsidRDefault="000C1BFE"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Pr>
                <w:rFonts w:ascii="Times New Roman" w:eastAsia="Times New Roman" w:hAnsi="Times New Roman" w:cs="Times New Roman"/>
                <w:color w:val="000000"/>
                <w:sz w:val="28"/>
                <w:szCs w:val="28"/>
                <w:lang w:val="lv-LV" w:eastAsia="en-GB"/>
              </w:rPr>
              <w:t xml:space="preserve">Bezemisiju transportlīdzekļiem piešķir maksimālo punktu skaitu. </w:t>
            </w:r>
          </w:p>
        </w:tc>
      </w:tr>
    </w:tbl>
    <w:p w14:paraId="0DC68918" w14:textId="77777777" w:rsidR="000D67AB" w:rsidRPr="004A1D98" w:rsidRDefault="000D67AB" w:rsidP="00426910">
      <w:pPr>
        <w:spacing w:after="120" w:line="264" w:lineRule="auto"/>
        <w:jc w:val="both"/>
        <w:rPr>
          <w:rFonts w:ascii="Times New Roman" w:eastAsia="Times New Roman" w:hAnsi="Times New Roman" w:cs="Times New Roman"/>
          <w:sz w:val="28"/>
          <w:szCs w:val="28"/>
          <w:lang w:val="lv-LV"/>
        </w:rPr>
      </w:pPr>
    </w:p>
    <w:p w14:paraId="51B5EF1A" w14:textId="77777777" w:rsidR="001371DC" w:rsidRPr="004A1D98" w:rsidRDefault="001371DC" w:rsidP="00426910">
      <w:pPr>
        <w:spacing w:after="120" w:line="264" w:lineRule="auto"/>
        <w:jc w:val="both"/>
        <w:rPr>
          <w:rFonts w:ascii="Times New Roman" w:eastAsia="Times New Roman" w:hAnsi="Times New Roman" w:cs="Times New Roman"/>
          <w:sz w:val="28"/>
          <w:szCs w:val="28"/>
          <w:lang w:val="lv-LV"/>
        </w:rPr>
      </w:pPr>
    </w:p>
    <w:p w14:paraId="4BA2A0F8" w14:textId="77777777" w:rsidR="001371DC" w:rsidRPr="004A1D98" w:rsidRDefault="001371DC" w:rsidP="00426910">
      <w:pPr>
        <w:spacing w:after="120" w:line="264" w:lineRule="auto"/>
        <w:jc w:val="both"/>
        <w:rPr>
          <w:rFonts w:ascii="Times New Roman" w:eastAsia="Times New Roman" w:hAnsi="Times New Roman" w:cs="Times New Roman"/>
          <w:sz w:val="28"/>
          <w:szCs w:val="28"/>
          <w:lang w:val="lv-LV"/>
        </w:rPr>
      </w:pPr>
    </w:p>
    <w:p w14:paraId="390632D8" w14:textId="77777777" w:rsidR="001371DC" w:rsidRPr="004A1D98" w:rsidRDefault="001371DC" w:rsidP="00426910">
      <w:pPr>
        <w:spacing w:after="120" w:line="264" w:lineRule="auto"/>
        <w:jc w:val="both"/>
        <w:rPr>
          <w:rFonts w:ascii="Times New Roman" w:eastAsia="Times New Roman" w:hAnsi="Times New Roman" w:cs="Times New Roman"/>
          <w:sz w:val="28"/>
          <w:szCs w:val="28"/>
          <w:lang w:val="lv-LV"/>
        </w:rPr>
      </w:pPr>
    </w:p>
    <w:p w14:paraId="3DD95FC3" w14:textId="77777777" w:rsidR="001371DC" w:rsidRPr="004A1D98" w:rsidRDefault="001371DC" w:rsidP="00426910">
      <w:pPr>
        <w:spacing w:after="120" w:line="264" w:lineRule="auto"/>
        <w:jc w:val="both"/>
        <w:rPr>
          <w:rFonts w:ascii="Times New Roman" w:eastAsia="Times New Roman" w:hAnsi="Times New Roman" w:cs="Times New Roman"/>
          <w:sz w:val="28"/>
          <w:szCs w:val="28"/>
          <w:lang w:val="lv-LV"/>
        </w:rPr>
      </w:pPr>
    </w:p>
    <w:p w14:paraId="1486273A" w14:textId="6D68C6A1"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1</w:t>
      </w:r>
      <w:r w:rsidR="00B64B25">
        <w:rPr>
          <w:rFonts w:ascii="Times New Roman" w:eastAsia="MS Gothic" w:hAnsi="Times New Roman" w:cs="Times New Roman"/>
          <w:b/>
          <w:bCs/>
          <w:color w:val="000000"/>
          <w:sz w:val="28"/>
          <w:szCs w:val="28"/>
          <w:lang w:val="lv-LV"/>
        </w:rPr>
        <w:t>2</w:t>
      </w:r>
      <w:r w:rsidRPr="004A1D98">
        <w:rPr>
          <w:rFonts w:ascii="Times New Roman" w:eastAsia="MS Gothic" w:hAnsi="Times New Roman" w:cs="Times New Roman"/>
          <w:b/>
          <w:bCs/>
          <w:color w:val="000000"/>
          <w:sz w:val="28"/>
          <w:szCs w:val="28"/>
          <w:lang w:val="lv-LV"/>
        </w:rPr>
        <w:t>.</w:t>
      </w:r>
      <w:r w:rsidR="00B64B25">
        <w:rPr>
          <w:rFonts w:ascii="Times New Roman" w:eastAsia="MS Gothic" w:hAnsi="Times New Roman" w:cs="Times New Roman"/>
          <w:b/>
          <w:bCs/>
          <w:color w:val="000000"/>
          <w:sz w:val="28"/>
          <w:szCs w:val="28"/>
          <w:lang w:val="lv-LV"/>
        </w:rPr>
        <w:t>4</w:t>
      </w:r>
      <w:r w:rsidRPr="004A1D98">
        <w:rPr>
          <w:rFonts w:ascii="Times New Roman" w:eastAsia="MS Gothic" w:hAnsi="Times New Roman" w:cs="Times New Roman"/>
          <w:b/>
          <w:bCs/>
          <w:color w:val="000000"/>
          <w:sz w:val="28"/>
          <w:szCs w:val="28"/>
          <w:lang w:val="lv-LV"/>
        </w:rPr>
        <w:t>. ZPI prasības un kritēriji atkritumu savākšanas pakalpojumiem</w:t>
      </w:r>
    </w:p>
    <w:p w14:paraId="799B96D0" w14:textId="77777777" w:rsidR="000D67AB" w:rsidRPr="004A1D98" w:rsidRDefault="000D67AB" w:rsidP="00426910">
      <w:pPr>
        <w:spacing w:after="0" w:line="240" w:lineRule="auto"/>
        <w:rPr>
          <w:rFonts w:ascii="Times New Roman" w:eastAsia="Times New Roman" w:hAnsi="Times New Roman" w:cs="Times New Roman"/>
          <w:sz w:val="28"/>
          <w:szCs w:val="28"/>
          <w:lang w:val="lv-LV"/>
        </w:rPr>
      </w:pPr>
    </w:p>
    <w:tbl>
      <w:tblPr>
        <w:tblW w:w="8500" w:type="dxa"/>
        <w:tblLayout w:type="fixed"/>
        <w:tblCellMar>
          <w:left w:w="10" w:type="dxa"/>
          <w:right w:w="10" w:type="dxa"/>
        </w:tblCellMar>
        <w:tblLook w:val="04A0" w:firstRow="1" w:lastRow="0" w:firstColumn="1" w:lastColumn="0" w:noHBand="0" w:noVBand="1"/>
      </w:tblPr>
      <w:tblGrid>
        <w:gridCol w:w="1809"/>
        <w:gridCol w:w="6691"/>
      </w:tblGrid>
      <w:tr w:rsidR="000D67AB" w:rsidRPr="004A1D98" w14:paraId="5EADACDF" w14:textId="77777777" w:rsidTr="000A7815">
        <w:trPr>
          <w:trHeight w:val="552"/>
        </w:trPr>
        <w:tc>
          <w:tcPr>
            <w:tcW w:w="180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0F592FC"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Iepirkuma dokumentu sastāvdaļas</w:t>
            </w:r>
          </w:p>
        </w:tc>
        <w:tc>
          <w:tcPr>
            <w:tcW w:w="6691"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814BD44" w14:textId="77777777" w:rsidR="000D67AB" w:rsidRPr="004A1D98" w:rsidRDefault="000D67AB" w:rsidP="00426910">
            <w:pPr>
              <w:spacing w:before="120" w:after="120" w:line="264" w:lineRule="auto"/>
              <w:jc w:val="center"/>
              <w:rPr>
                <w:rFonts w:ascii="Times New Roman" w:eastAsia="Times New Roman" w:hAnsi="Times New Roman" w:cs="Times New Roman"/>
                <w:b/>
                <w:color w:val="000000"/>
                <w:sz w:val="28"/>
                <w:szCs w:val="28"/>
                <w:lang w:val="lv-LV"/>
              </w:rPr>
            </w:pPr>
            <w:r w:rsidRPr="004A1D98">
              <w:rPr>
                <w:rFonts w:ascii="Times New Roman" w:eastAsia="Times New Roman" w:hAnsi="Times New Roman" w:cs="Times New Roman"/>
                <w:b/>
                <w:color w:val="000000"/>
                <w:sz w:val="28"/>
                <w:szCs w:val="28"/>
                <w:lang w:val="lv-LV"/>
              </w:rPr>
              <w:t>ZPI prasības un kritēriji</w:t>
            </w:r>
          </w:p>
        </w:tc>
      </w:tr>
      <w:tr w:rsidR="000D67AB" w:rsidRPr="004A1D98" w14:paraId="3DDF7345" w14:textId="77777777" w:rsidTr="000A7815">
        <w:trPr>
          <w:trHeight w:val="552"/>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DD8AE"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priekšmets</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E53B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Līgums par atkritumu savākšanas pakalpojumu sniegšanu videi nekaitīgā veidā. </w:t>
            </w:r>
          </w:p>
        </w:tc>
      </w:tr>
      <w:tr w:rsidR="000D67AB" w:rsidRPr="004A1D98" w14:paraId="68F84E86" w14:textId="77777777" w:rsidTr="000A7815">
        <w:trPr>
          <w:trHeight w:val="552"/>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5F057"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Tehniskās specifikācijas</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1FE04"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4DAAB313"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rPr>
              <w:t>Visu pakalpojumu sniegšanā izmantoto transportlīdzekļu dzinējiem ir jāatbilst EURO V atgāzu emisijas standartam saskaņā ar Ministru kabineta 2009. gada 22. decembra noteikumiem Nr.1494  "Mopēdu, mehānisko transportlīdzekļu, to piekabju un sastāvdaļu atbilstības novērtēšanas noteikumi"</w:t>
            </w:r>
            <w:r w:rsidRPr="004A1D98">
              <w:rPr>
                <w:rFonts w:ascii="Times New Roman" w:eastAsia="Times New Roman" w:hAnsi="Times New Roman" w:cs="Times New Roman"/>
                <w:bCs/>
                <w:color w:val="000000"/>
                <w:sz w:val="28"/>
                <w:szCs w:val="28"/>
                <w:lang w:val="lv-LV"/>
              </w:rPr>
              <w:t xml:space="preserve"> 11. pielikuma 41. iedaļā </w:t>
            </w:r>
            <w:r w:rsidRPr="004A1D98">
              <w:rPr>
                <w:rFonts w:ascii="Times New Roman" w:eastAsia="Times New Roman" w:hAnsi="Times New Roman" w:cs="Times New Roman"/>
                <w:color w:val="000000"/>
                <w:sz w:val="28"/>
                <w:szCs w:val="28"/>
                <w:lang w:val="lv-LV" w:eastAsia="ja-JP"/>
              </w:rPr>
              <w:t>noteiktajām "EURO V" emisiju robežvērtībām.</w:t>
            </w:r>
          </w:p>
          <w:p w14:paraId="28A4AEA7" w14:textId="77777777" w:rsidR="000D67AB" w:rsidRPr="004A1D98" w:rsidRDefault="000D67AB" w:rsidP="00426910">
            <w:pPr>
              <w:spacing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Ja transportlīdzekļi nav sertificēti kā atbilstoši EURO V standartam, bet ar vēlāk veiktiem tehniskiem uzlabojumiem ir panākts standartam atbilstošs rezultāts, tas jādokumentē iepirkuma procedūras dokumentācijā.</w:t>
            </w:r>
          </w:p>
          <w:p w14:paraId="50CD12D6"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TROKŠŅA EMISIJAS </w:t>
            </w:r>
          </w:p>
          <w:p w14:paraId="6658713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Pakalpojuma sniegšanā izmantoto transportlīdzekļu trokšņa līmenim ir jābūt zemākam par 102 dB (A), mērot saskaņā ar </w:t>
            </w:r>
            <w:r w:rsidRPr="004A1D98">
              <w:rPr>
                <w:rFonts w:ascii="Times New Roman" w:eastAsia="Times New Roman" w:hAnsi="Times New Roman" w:cs="Times New Roman"/>
                <w:bCs/>
                <w:color w:val="000000"/>
                <w:sz w:val="28"/>
                <w:szCs w:val="28"/>
                <w:lang w:val="lv-LV" w:eastAsia="en-GB"/>
              </w:rPr>
              <w:t xml:space="preserve">Ministru kabineta </w:t>
            </w:r>
            <w:r w:rsidRPr="004A1D98">
              <w:rPr>
                <w:rFonts w:ascii="Times New Roman" w:eastAsia="Times New Roman" w:hAnsi="Times New Roman" w:cs="Times New Roman"/>
                <w:color w:val="000000"/>
                <w:sz w:val="28"/>
                <w:szCs w:val="28"/>
                <w:lang w:val="lv-LV" w:eastAsia="en-GB"/>
              </w:rPr>
              <w:t xml:space="preserve">2002.gada 23.aprīļa </w:t>
            </w:r>
            <w:r w:rsidRPr="004A1D98">
              <w:rPr>
                <w:rFonts w:ascii="Times New Roman" w:eastAsia="Times New Roman" w:hAnsi="Times New Roman" w:cs="Times New Roman"/>
                <w:bCs/>
                <w:color w:val="000000"/>
                <w:sz w:val="28"/>
                <w:szCs w:val="28"/>
                <w:lang w:val="lv-LV" w:eastAsia="en-GB"/>
              </w:rPr>
              <w:t>noteikumiem Nr.163</w:t>
            </w:r>
            <w:r w:rsidRPr="004A1D98">
              <w:rPr>
                <w:rFonts w:ascii="Times New Roman" w:eastAsia="Times New Roman" w:hAnsi="Times New Roman" w:cs="Times New Roman"/>
                <w:color w:val="000000"/>
                <w:sz w:val="28"/>
                <w:szCs w:val="28"/>
                <w:lang w:val="lv-LV" w:eastAsia="en-GB"/>
              </w:rPr>
              <w:t xml:space="preserve"> "</w:t>
            </w:r>
            <w:r w:rsidRPr="004A1D98">
              <w:rPr>
                <w:rFonts w:ascii="Times New Roman" w:eastAsia="Times New Roman" w:hAnsi="Times New Roman" w:cs="Times New Roman"/>
                <w:bCs/>
                <w:color w:val="000000"/>
                <w:sz w:val="28"/>
                <w:szCs w:val="28"/>
                <w:lang w:val="lv-LV" w:eastAsia="en-GB"/>
              </w:rPr>
              <w:t>Noteikumi par trokšņa emisiju no iekārtām, kuras izmanto ārpus telpām".</w:t>
            </w:r>
          </w:p>
          <w:p w14:paraId="69FCEE4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bookmarkStart w:id="5" w:name="_Toc20779228"/>
            <w:r w:rsidRPr="004A1D98">
              <w:rPr>
                <w:rFonts w:ascii="Times New Roman" w:eastAsia="Times New Roman" w:hAnsi="Times New Roman" w:cs="Times New Roman"/>
                <w:color w:val="000000"/>
                <w:sz w:val="28"/>
                <w:szCs w:val="28"/>
                <w:lang w:val="lv-LV" w:eastAsia="en-GB"/>
              </w:rPr>
              <w:t>3. TRANSPORTLĪDZEKĻU RIEPAS — TROKSNIS</w:t>
            </w:r>
            <w:bookmarkEnd w:id="5"/>
            <w:r w:rsidRPr="004A1D98">
              <w:rPr>
                <w:rFonts w:ascii="Times New Roman" w:eastAsia="Times New Roman" w:hAnsi="Times New Roman" w:cs="Times New Roman"/>
                <w:color w:val="000000"/>
                <w:sz w:val="28"/>
                <w:szCs w:val="28"/>
                <w:lang w:val="lv-LV" w:eastAsia="en-GB"/>
              </w:rPr>
              <w:t xml:space="preserve"> </w:t>
            </w:r>
          </w:p>
          <w:p w14:paraId="274EE23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Transportlīdzekļiem ir jābūt aprīkotiem ar riepām, kuru trokšņa emisijas līmenis ir mazāks par </w:t>
            </w:r>
            <w:r w:rsidRPr="004A1D98">
              <w:rPr>
                <w:rFonts w:ascii="Times New Roman" w:eastAsia="Times New Roman" w:hAnsi="Times New Roman" w:cs="Times New Roman"/>
                <w:bCs/>
                <w:color w:val="000000"/>
                <w:sz w:val="28"/>
                <w:szCs w:val="28"/>
                <w:lang w:val="lv-LV" w:eastAsia="en-GB"/>
              </w:rPr>
              <w:t>Eiropas Parlamenta un Padomes 2009. gada 13. jūlija Regulas (EK) Nr. 661/2009 par tipa apstiprināšanas prasībām attiecībā uz mehānisko transportlīdzekļu, to piekabju un tiem paredzēto sistēmu, sastāvdaļu un atsevišķu tehnisko vienību vispārējo drošību</w:t>
            </w:r>
            <w:r w:rsidRPr="004A1D98">
              <w:rPr>
                <w:rFonts w:ascii="Times New Roman" w:eastAsia="Times New Roman" w:hAnsi="Times New Roman" w:cs="Times New Roman"/>
                <w:color w:val="000000"/>
                <w:sz w:val="28"/>
                <w:szCs w:val="28"/>
                <w:lang w:val="lv-LV"/>
              </w:rPr>
              <w:t xml:space="preserve"> II pielikuma C daļā noteikto maksimālo līmeni. Tas atbilst divām (no trim pieejamajām) augstākajām ES riepu marķējuma ārējā rites trokšņa klases kategorijām.</w:t>
            </w:r>
          </w:p>
          <w:p w14:paraId="1848C3C1" w14:textId="77777777" w:rsidR="000D67AB" w:rsidRPr="004A1D98" w:rsidRDefault="000D67AB" w:rsidP="00426910">
            <w:pPr>
              <w:spacing w:after="120"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Piegādātājam ir jāapņemas izmantot zemas rites pretestības riepas. Rites pretestībai (gan jaunām riepām, gan riepām ar atjaunotu protektoru), kas izteikta kilogramos uz tonnu (kg/t), jāatbilst šādām robežvērtībām, saskaņā ar ISO 28580: 2009 "Vieglo automobiļu, kravas automobiļu un autobusu riepas. Rites pretestības mērīšanas metodes. Vienotā punkta tests un mērījumu rezultātu korelācija", vai līdzvērtīgu standartu: </w:t>
            </w:r>
          </w:p>
          <w:tbl>
            <w:tblPr>
              <w:tblW w:w="6372" w:type="dxa"/>
              <w:tblLayout w:type="fixed"/>
              <w:tblCellMar>
                <w:left w:w="10" w:type="dxa"/>
                <w:right w:w="10" w:type="dxa"/>
              </w:tblCellMar>
              <w:tblLook w:val="04A0" w:firstRow="1" w:lastRow="0" w:firstColumn="1" w:lastColumn="0" w:noHBand="0" w:noVBand="1"/>
            </w:tblPr>
            <w:tblGrid>
              <w:gridCol w:w="1682"/>
              <w:gridCol w:w="2281"/>
              <w:gridCol w:w="2409"/>
            </w:tblGrid>
            <w:tr w:rsidR="000D67AB" w:rsidRPr="004A1D98" w14:paraId="316DA02A" w14:textId="77777777" w:rsidTr="000A7815">
              <w:trPr>
                <w:trHeight w:val="1219"/>
              </w:trPr>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A74F1"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Riepas klase </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5135F"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Maksimālā rites pretestība (kg/t)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50AD6"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Riepu marķējuma degvielas patēriņa efektivitātes klase </w:t>
                  </w:r>
                </w:p>
              </w:tc>
            </w:tr>
            <w:tr w:rsidR="000D67AB" w:rsidRPr="004A1D98" w14:paraId="72F8CC0E" w14:textId="77777777" w:rsidTr="000A7815">
              <w:trPr>
                <w:trHeight w:val="288"/>
              </w:trPr>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63EC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C2</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42C9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9,2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083B0"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E</w:t>
                  </w:r>
                </w:p>
              </w:tc>
            </w:tr>
            <w:tr w:rsidR="000D67AB" w:rsidRPr="004A1D98" w14:paraId="0A883BCF" w14:textId="77777777" w:rsidTr="000A7815">
              <w:trPr>
                <w:trHeight w:val="288"/>
              </w:trPr>
              <w:tc>
                <w:tcPr>
                  <w:tcW w:w="16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1C1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C3</w:t>
                  </w:r>
                </w:p>
              </w:tc>
              <w:tc>
                <w:tcPr>
                  <w:tcW w:w="2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8551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4EA96"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D</w:t>
                  </w:r>
                </w:p>
              </w:tc>
            </w:tr>
          </w:tbl>
          <w:p w14:paraId="276B3A5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Šie rādītāji attiecas uz dzenošajiem riteņiem, kā arī riteņiem ar citām īpašām funkcijām. Izmantotajām dzītā tilta riepām ir jābūt mazākai rites pretestībai nekā tām, ko izmanto piedziņai vai īpašām funkcijām.</w:t>
            </w:r>
          </w:p>
          <w:p w14:paraId="57A9A951" w14:textId="77777777" w:rsidR="000D67AB" w:rsidRPr="004A1D98" w:rsidRDefault="000D67AB" w:rsidP="00426910">
            <w:pPr>
              <w:spacing w:before="120" w:beforeAutospacing="1" w:after="10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4. RIEPU SPIEDIENA KONTROLES SISTĒMAS (TPMS) </w:t>
            </w:r>
          </w:p>
          <w:p w14:paraId="22D16B7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LCV un lieljaudas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p w14:paraId="57152C78"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 xml:space="preserve">5.  VIDES VADĪBAS PASĀKUMI </w:t>
            </w:r>
          </w:p>
          <w:p w14:paraId="6257C8D0"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Pretendentiem jābūt sagatavotām rakstiskām procedūrām, kuru mērķis ir:</w:t>
            </w:r>
          </w:p>
          <w:p w14:paraId="5CBFCFDE"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1. Pārraudzīt un atzīmēt pakalpojuma siltumnīcefekta gāzu un gaisu piesārņojošu vielu emisijas. Jāizmanto radītāji par pakalpojuma emisijām un enerģijas patēriņu kopā gadā un uz transportēto pasažieru/tonnu/vienību skaitu kilometrā vai cita vienība, kas atspoguļo pakalpojuma izpildi;</w:t>
            </w:r>
          </w:p>
          <w:p w14:paraId="45965E9A"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2. Ieviest emisiju samazināšanas plānu ar pasākumiem, kuru mērķis ir samazināt siltumnīcefekta gāzu emisijas un gaisu piesārņojošu vielu emisijas;</w:t>
            </w:r>
          </w:p>
          <w:p w14:paraId="34B8037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3. Izvērtēt emisiju samazināšanas plāna izvēršanu, sekojot līdzi izmaiņām rādītājos un plāna pasākumu īstenošanai praksē;</w:t>
            </w:r>
          </w:p>
          <w:p w14:paraId="126933E3"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4. Īstenot nepieciešamos pasākumus ar mērķi labot novirzes no plāna vai rādītāju palielināšanos un, ja iespējams, novērst to nākotnē.</w:t>
            </w:r>
          </w:p>
        </w:tc>
      </w:tr>
      <w:tr w:rsidR="000D67AB" w:rsidRPr="004A1D98" w14:paraId="1FF6362F" w14:textId="77777777" w:rsidTr="000A7815">
        <w:trPr>
          <w:trHeight w:val="552"/>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95A53"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Piedāvājuma izvērtēšanas kritēriji</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AEE5B"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Papildu punkti tiek piešķirti par šādu kritēriju izpildi. </w:t>
            </w:r>
          </w:p>
          <w:p w14:paraId="2ED6E87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IZPLŪDES GĀZU EMISIJAS </w:t>
            </w:r>
          </w:p>
          <w:p w14:paraId="05A1A535"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To pakalpojuma sniegšanā izmantoto transportlīdzekļu proporcija, kas atbilst EURO VI atgāzu emisijas standartam saskaņā ar Eiropas Parlamenta un Padomes Regula (EK) Nr. 595/2009 ( 2009. gada 18. jūnijs) par mehānisko transportlīdzekļu un motoru tipa apstiprinājumu attiecībā uz lielas celtspējas/kravnesības transportlīdzekļu radītām emisijām ( Euro VI), par piekļuvi transportlīdzekļu remonta un tehniskās apkopes informācijai, par grozījumiem Regulā (EK) Nr. 715/2007 un Direktīvā 2007/46/EK un par Direktīvu 80/1269/EEK, 2005/55/EK un 2005/78/EK atcelšanu I pielikuma tabulā </w:t>
            </w:r>
            <w:r w:rsidRPr="004A1D98">
              <w:rPr>
                <w:rFonts w:ascii="Times New Roman" w:eastAsia="Times New Roman" w:hAnsi="Times New Roman" w:cs="Times New Roman"/>
                <w:bCs/>
                <w:color w:val="000000"/>
                <w:sz w:val="28"/>
                <w:szCs w:val="28"/>
                <w:lang w:val="lv-LV" w:eastAsia="en-GB"/>
              </w:rPr>
              <w:t>noteiktajām "Euro VI" emisijas robežvērtībām.</w:t>
            </w:r>
          </w:p>
          <w:p w14:paraId="254B92A9"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ALTERNATĪVAS DEGVIELAS IZMANTOŠANA </w:t>
            </w:r>
          </w:p>
          <w:p w14:paraId="6044518B" w14:textId="77777777" w:rsidR="000D67AB"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To transportlīdzekļu proporciju, kuru konstrukcija paredz alternatīvu degvielas veidu vai sistēmu izmantošanu (piemēram, biodegvielas, elektriskās, ūdeņraža vai hibrīdsistēmas). </w:t>
            </w:r>
          </w:p>
          <w:p w14:paraId="5F461DE8" w14:textId="5D3D7780" w:rsidR="00343B2B" w:rsidRPr="004A1D98" w:rsidRDefault="00343B2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Pr>
                <w:rFonts w:ascii="Times New Roman" w:eastAsia="Times New Roman" w:hAnsi="Times New Roman" w:cs="Times New Roman"/>
                <w:color w:val="000000"/>
                <w:sz w:val="28"/>
                <w:szCs w:val="28"/>
                <w:lang w:val="lv-LV" w:eastAsia="en-GB"/>
              </w:rPr>
              <w:t xml:space="preserve">Bezemisiju transportlīdzekļiem piešķir maksimālo punktu skaitu. </w:t>
            </w:r>
          </w:p>
        </w:tc>
      </w:tr>
      <w:tr w:rsidR="000D67AB" w:rsidRPr="004A1D98" w14:paraId="7B5540CD" w14:textId="77777777" w:rsidTr="000A7815">
        <w:trPr>
          <w:trHeight w:val="552"/>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67F0" w14:textId="77777777" w:rsidR="000D67AB" w:rsidRPr="004A1D98" w:rsidRDefault="000D67AB" w:rsidP="00426910">
            <w:pPr>
              <w:spacing w:before="120" w:after="120" w:line="264" w:lineRule="auto"/>
              <w:jc w:val="both"/>
              <w:rPr>
                <w:rFonts w:ascii="Times New Roman" w:eastAsia="Times New Roman" w:hAnsi="Times New Roman" w:cs="Times New Roman"/>
                <w:color w:val="000000"/>
                <w:sz w:val="28"/>
                <w:szCs w:val="28"/>
                <w:lang w:val="lv-LV"/>
              </w:rPr>
            </w:pPr>
            <w:r w:rsidRPr="004A1D98">
              <w:rPr>
                <w:rFonts w:ascii="Times New Roman" w:eastAsia="Times New Roman" w:hAnsi="Times New Roman" w:cs="Times New Roman"/>
                <w:color w:val="000000"/>
                <w:sz w:val="28"/>
                <w:szCs w:val="28"/>
                <w:lang w:val="lv-LV"/>
              </w:rPr>
              <w:t>Iepirkuma līguma izpildes noteikumi</w:t>
            </w:r>
          </w:p>
        </w:tc>
        <w:tc>
          <w:tcPr>
            <w:tcW w:w="66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54B3E"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1. JAUNI TRANSPORTLĪDZEKĻI </w:t>
            </w:r>
          </w:p>
          <w:p w14:paraId="4D59444C" w14:textId="727714D8" w:rsidR="00A66D9F"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Visiem jaunajiem transportlīdzekļiem, kas iegādāti pēc līgumtiesību piešķiršanas un ko izmanto pakalpojuma sniegšanai līguma darbības periodā, ir jāatbilst EURO VI atgāzu emisijas standartam saskaņā ar Eiropas Parlamenta un Padomes Regula (EK) Nr. 595/2009 (2009. gada 18. jūnijs) par mehānisko transportlīdzekļu un motoru tipa apstiprinājumu attiecībā uz lielas celtspējas/kravnesības transportlīdzekļu radītām emisijām (Euro VI), par piekļuvi transportlīdzekļu remonta un tehniskās apkopes informācijai, par grozījumiem Regulā (EK) Nr. 715/2007 un Direktīvā 2007/46/EK un par Direktīvu 80/1269/EEK, 2005/55/EK un 2005/78/EK atcelšanu I pielikuma tabulā </w:t>
            </w:r>
            <w:r w:rsidRPr="004A1D98">
              <w:rPr>
                <w:rFonts w:ascii="Times New Roman" w:eastAsia="Times New Roman" w:hAnsi="Times New Roman" w:cs="Times New Roman"/>
                <w:bCs/>
                <w:color w:val="000000"/>
                <w:sz w:val="28"/>
                <w:szCs w:val="28"/>
                <w:lang w:val="lv-LV" w:eastAsia="en-GB"/>
              </w:rPr>
              <w:t>noteiktajām "Euro VI" emisijas robežvērtībām</w:t>
            </w:r>
            <w:r w:rsidRPr="004A1D98">
              <w:rPr>
                <w:rFonts w:ascii="Times New Roman" w:eastAsia="Times New Roman" w:hAnsi="Times New Roman" w:cs="Times New Roman"/>
                <w:color w:val="000000"/>
                <w:sz w:val="28"/>
                <w:szCs w:val="28"/>
                <w:lang w:val="lv-LV" w:eastAsia="en-GB"/>
              </w:rPr>
              <w:t xml:space="preserve">, un tie jāaprīko ar RSKS (riepu spiediena kontroles sistēma). Transportlīdzekļa izplūdes gāzu izpūtējs nedrīkst atrasties tajā pašā pusē, kur pasažieru durvis. </w:t>
            </w:r>
          </w:p>
          <w:p w14:paraId="51B0D12C"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2. VADĪTĀJU APMĀCĪBA </w:t>
            </w:r>
          </w:p>
          <w:p w14:paraId="075578E7"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Visiem līguma darbības laikā pakalpojuma sniegšanā iesaistītajiem autovadītājiem atzītā apmācības iestādē ir regulāri jāapgūst vidi saudzējoša autovadīšana, lai palielinātu degvielas ekonomiju. </w:t>
            </w:r>
          </w:p>
          <w:p w14:paraId="750BE951"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xml:space="preserve">3. VIDES VADĪBAS PASĀKUMI </w:t>
            </w:r>
          </w:p>
          <w:p w14:paraId="6502B97E"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Pakalpojuma sniedzējam visā līguma darbības laikā ir jādokumentē un jāziņo informācija par:</w:t>
            </w:r>
          </w:p>
          <w:p w14:paraId="3492F45C"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rādītāju uzraudzības rezultātiem,</w:t>
            </w:r>
          </w:p>
          <w:p w14:paraId="04B5423F"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 attiecīgā gadījumā izvērtēšanas un korektīvo un profilaktisko pasākumu rezultātiem saskaņā ar rakstiskajām procedūrām.</w:t>
            </w:r>
          </w:p>
          <w:p w14:paraId="38BB0FAD" w14:textId="77777777" w:rsidR="000D67AB" w:rsidRPr="004A1D98" w:rsidRDefault="000D67AB" w:rsidP="00426910">
            <w:pPr>
              <w:spacing w:before="120" w:beforeAutospacing="1" w:after="120" w:afterAutospacing="1" w:line="240" w:lineRule="auto"/>
              <w:jc w:val="both"/>
              <w:rPr>
                <w:rFonts w:ascii="Times New Roman" w:eastAsia="Times New Roman" w:hAnsi="Times New Roman" w:cs="Times New Roman"/>
                <w:color w:val="000000"/>
                <w:sz w:val="28"/>
                <w:szCs w:val="28"/>
                <w:lang w:val="lv-LV" w:eastAsia="en-GB"/>
              </w:rPr>
            </w:pPr>
            <w:r w:rsidRPr="004A1D98">
              <w:rPr>
                <w:rFonts w:ascii="Times New Roman" w:eastAsia="Times New Roman" w:hAnsi="Times New Roman" w:cs="Times New Roman"/>
                <w:color w:val="000000"/>
                <w:sz w:val="28"/>
                <w:szCs w:val="28"/>
                <w:lang w:val="lv-LV" w:eastAsia="en-GB"/>
              </w:rPr>
              <w:t>Jānodrošina šo ziņojumu pieejamība Pasūtītājam, lai tā varētu veikt pārbaudi.</w:t>
            </w:r>
          </w:p>
        </w:tc>
      </w:tr>
    </w:tbl>
    <w:p w14:paraId="10A3FA54" w14:textId="77777777" w:rsidR="000D67AB" w:rsidRPr="004A1D98" w:rsidRDefault="000D67AB" w:rsidP="00426910">
      <w:pPr>
        <w:spacing w:after="120" w:line="264" w:lineRule="auto"/>
        <w:rPr>
          <w:rFonts w:ascii="Times New Roman" w:eastAsia="Times New Roman" w:hAnsi="Times New Roman" w:cs="Times New Roman"/>
          <w:sz w:val="28"/>
          <w:szCs w:val="28"/>
          <w:lang w:val="lv-LV"/>
        </w:rPr>
      </w:pPr>
    </w:p>
    <w:p w14:paraId="7DC713BF" w14:textId="77777777" w:rsidR="000D67AB" w:rsidRPr="004A1D98" w:rsidRDefault="000D67AB" w:rsidP="00426910">
      <w:pPr>
        <w:spacing w:after="120" w:line="264" w:lineRule="auto"/>
        <w:jc w:val="both"/>
        <w:rPr>
          <w:rFonts w:ascii="Times New Roman" w:eastAsia="Times New Roman" w:hAnsi="Times New Roman" w:cs="Times New Roman"/>
          <w:sz w:val="28"/>
          <w:szCs w:val="28"/>
          <w:lang w:val="lv-LV"/>
        </w:rPr>
      </w:pPr>
    </w:p>
    <w:p w14:paraId="594D7F2B" w14:textId="77777777" w:rsidR="000D67AB" w:rsidRPr="004A1D98" w:rsidRDefault="000D67AB" w:rsidP="00426910">
      <w:pPr>
        <w:spacing w:after="0" w:line="240" w:lineRule="auto"/>
        <w:jc w:val="both"/>
        <w:rPr>
          <w:rFonts w:ascii="Times New Roman" w:eastAsia="Times New Roman" w:hAnsi="Times New Roman" w:cs="Times New Roman"/>
          <w:color w:val="000000"/>
          <w:sz w:val="28"/>
          <w:szCs w:val="28"/>
          <w:lang w:val="lv-LV" w:eastAsia="lv-LV"/>
        </w:rPr>
      </w:pPr>
    </w:p>
    <w:p w14:paraId="0D148D56" w14:textId="5D678B84"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B64B25">
        <w:rPr>
          <w:rFonts w:ascii="Times New Roman" w:eastAsia="MS Gothic" w:hAnsi="Times New Roman" w:cs="Times New Roman"/>
          <w:b/>
          <w:bCs/>
          <w:color w:val="000000"/>
          <w:sz w:val="28"/>
          <w:szCs w:val="28"/>
          <w:lang w:val="lv-LV" w:eastAsia="lv-LV"/>
        </w:rPr>
        <w:t>3</w:t>
      </w:r>
      <w:r w:rsidRPr="004A1D98">
        <w:rPr>
          <w:rFonts w:ascii="Times New Roman" w:eastAsia="MS Gothic" w:hAnsi="Times New Roman" w:cs="Times New Roman"/>
          <w:b/>
          <w:bCs/>
          <w:color w:val="000000"/>
          <w:sz w:val="28"/>
          <w:szCs w:val="28"/>
          <w:lang w:val="lv-LV" w:eastAsia="lv-LV"/>
        </w:rPr>
        <w:t>. Veselības aprūpes elektriskās un elektroniskās iekārtas (veselības aprūpes EEI)</w:t>
      </w:r>
    </w:p>
    <w:p w14:paraId="687EC14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ab/>
      </w:r>
      <w:r w:rsidRPr="004A1D98">
        <w:rPr>
          <w:rFonts w:ascii="Times New Roman" w:eastAsia="Times New Roman" w:hAnsi="Times New Roman" w:cs="Times New Roman"/>
          <w:color w:val="000000"/>
          <w:sz w:val="28"/>
          <w:szCs w:val="28"/>
          <w:lang w:val="lv-LV" w:eastAsia="lv-LV"/>
        </w:rPr>
        <w:t xml:space="preserve">Veselības aprūpes EEI kritērijos ietvertas gan augstsprieguma, gan zemsprieguma iekārtas. Tās aptver visu aprūpes ciklu, kā norādīts </w:t>
      </w:r>
      <w:r w:rsidRPr="004A1D98">
        <w:rPr>
          <w:rFonts w:ascii="Times New Roman" w:eastAsia="Times New Roman" w:hAnsi="Times New Roman" w:cs="Times New Roman"/>
          <w:bCs/>
          <w:color w:val="000000"/>
          <w:sz w:val="28"/>
          <w:szCs w:val="28"/>
          <w:lang w:val="lv-LV" w:eastAsia="lv-LV"/>
        </w:rPr>
        <w:t xml:space="preserve">Ministru kabineta </w:t>
      </w:r>
      <w:r w:rsidRPr="004A1D98">
        <w:rPr>
          <w:rFonts w:ascii="Times New Roman" w:eastAsia="Times New Roman" w:hAnsi="Times New Roman" w:cs="Times New Roman"/>
          <w:color w:val="000000"/>
          <w:sz w:val="28"/>
          <w:szCs w:val="28"/>
          <w:lang w:val="lv-LV" w:eastAsia="lv-LV"/>
        </w:rPr>
        <w:t xml:space="preserve">2005. gada 2. augusta </w:t>
      </w:r>
      <w:r w:rsidRPr="004A1D98">
        <w:rPr>
          <w:rFonts w:ascii="Times New Roman" w:eastAsia="Times New Roman" w:hAnsi="Times New Roman" w:cs="Times New Roman"/>
          <w:bCs/>
          <w:color w:val="000000"/>
          <w:sz w:val="28"/>
          <w:szCs w:val="28"/>
          <w:lang w:val="lv-LV" w:eastAsia="lv-LV"/>
        </w:rPr>
        <w:t>noteikumos Nr. 581</w:t>
      </w:r>
      <w:r w:rsidRPr="004A1D98">
        <w:rPr>
          <w:rFonts w:ascii="Times New Roman" w:eastAsia="Times New Roman" w:hAnsi="Times New Roman" w:cs="Times New Roman"/>
          <w:color w:val="000000"/>
          <w:sz w:val="28"/>
          <w:szCs w:val="28"/>
          <w:lang w:val="lv-LV" w:eastAsia="lv-LV"/>
        </w:rPr>
        <w:t xml:space="preserve"> "</w:t>
      </w:r>
      <w:r w:rsidRPr="004A1D98">
        <w:rPr>
          <w:rFonts w:ascii="Times New Roman" w:eastAsia="Times New Roman" w:hAnsi="Times New Roman" w:cs="Times New Roman"/>
          <w:bCs/>
          <w:color w:val="000000"/>
          <w:sz w:val="28"/>
          <w:szCs w:val="28"/>
          <w:lang w:val="lv-LV" w:eastAsia="lv-LV"/>
        </w:rPr>
        <w:t>Medicīnisko ierīču reģistrācijas, atbilstības novērtēšanas, izplatīšanas, ekspluatācijas un tehniskās uzraudzības kārtība".</w:t>
      </w:r>
    </w:p>
    <w:p w14:paraId="61C8D07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b/>
        <w:t xml:space="preserve">Šeit norādītās parsības un  kritērijus paredzēts izmantot šādu ražojumu iepirkuma procedūrās: </w:t>
      </w:r>
    </w:p>
    <w:p w14:paraId="4CBE6B9A"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33157000-5: anestēzijas iekārtas – ventilatori (intensīvās aprūpes ventilatori, izņemot transporta ventilatorus, anestēzijas ventilatori, izņemot mājas ventilatorus); </w:t>
      </w:r>
    </w:p>
    <w:p w14:paraId="1E577A17"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33195100-4: pacientu novēroš anas monitori; </w:t>
      </w:r>
    </w:p>
    <w:p w14:paraId="105D452C"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33115100-0: datortomogrāfijas (DT) iekārtas; </w:t>
      </w:r>
    </w:p>
    <w:p w14:paraId="2D20B1FE"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33123200-0: elektrokardiogrāfijas (EKG) iekārtas (diagnostikas); </w:t>
      </w:r>
    </w:p>
    <w:p w14:paraId="3A3AF8DA"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33168100-6: endoskopiskās iekārtas (kamera, endoskops, gaisma, kompresors); </w:t>
      </w:r>
    </w:p>
    <w:p w14:paraId="34271A73"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39330000-4: skalošanas–dezinfekcijas iekārtas; </w:t>
      </w:r>
    </w:p>
    <w:p w14:paraId="0DA55899"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33181100-3: hemodialīzes iekārtas; </w:t>
      </w:r>
    </w:p>
    <w:p w14:paraId="3DC2E74F"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33161000-6: AF, RF ķirurģiskās iekārtas, diatermijas iekārtas (divpolu, vienpola); </w:t>
      </w:r>
    </w:p>
    <w:p w14:paraId="06621CCF"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33152000-0: inkubatori zīdaiņiem (stacionāri); </w:t>
      </w:r>
    </w:p>
    <w:p w14:paraId="1F6A6897"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33194110-0: infūzijas sūkņi un perfuzori; </w:t>
      </w:r>
    </w:p>
    <w:p w14:paraId="7498678B"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33157400-9: intensīvās aprūpes iekārtas – aktīvie elpošanas gāzu mitrinātāji; </w:t>
      </w:r>
    </w:p>
    <w:p w14:paraId="14B43EEF"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33169100-3: ķirurģiskie lāzerinstrumenti; </w:t>
      </w:r>
    </w:p>
    <w:p w14:paraId="2811E44C"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33111610-0: magnētiskās rezonanses attēldiagnostikas (MRI) iekārtas; </w:t>
      </w:r>
    </w:p>
    <w:p w14:paraId="6822A8D4"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39711120-6: medicīniskās saldētavas; </w:t>
      </w:r>
    </w:p>
    <w:p w14:paraId="223EA286"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31524110-9: medicīniskais apgaismojums – operāciju zāles lampas; </w:t>
      </w:r>
    </w:p>
    <w:p w14:paraId="1DB3CA7C"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33191110-9: medicīniskie autoklāvi; </w:t>
      </w:r>
    </w:p>
    <w:p w14:paraId="14993A90"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33160000-9, 33162000-3: pacientu sildīšanas sistēmas (segas, polsteri, matrači); </w:t>
      </w:r>
    </w:p>
    <w:p w14:paraId="47954105"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33112200-0: ultraskaņas iekārtas (izņemot terapeitiskās); </w:t>
      </w:r>
    </w:p>
    <w:p w14:paraId="5D7F1B13" w14:textId="77777777" w:rsidR="006279C0"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33191000-5: mazgāšanas–dezinfekcijas iekārtas; </w:t>
      </w:r>
    </w:p>
    <w:p w14:paraId="7F71E690" w14:textId="703E82A3" w:rsidR="000D67AB" w:rsidRPr="004A1D98" w:rsidRDefault="000D67AB" w:rsidP="00AB1BBF">
      <w:pPr>
        <w:numPr>
          <w:ilvl w:val="0"/>
          <w:numId w:val="43"/>
        </w:numPr>
        <w:suppressAutoHyphens/>
        <w:autoSpaceDN w:val="0"/>
        <w:spacing w:before="120" w:after="120" w:line="240" w:lineRule="auto"/>
        <w:ind w:left="0" w:firstLine="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CPV 33111000-1, 33111650-2: rentgena iekārtas (tostarp mamogrāfijas, izņemot osteoporozes). </w:t>
      </w:r>
    </w:p>
    <w:p w14:paraId="5B4583D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p w14:paraId="14E0BACF" w14:textId="68603A44"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B64B25">
        <w:rPr>
          <w:rFonts w:ascii="Times New Roman" w:eastAsia="MS Gothic" w:hAnsi="Times New Roman" w:cs="Times New Roman"/>
          <w:b/>
          <w:bCs/>
          <w:color w:val="000000"/>
          <w:sz w:val="28"/>
          <w:szCs w:val="28"/>
          <w:lang w:val="lv-LV" w:eastAsia="lv-LV"/>
        </w:rPr>
        <w:t>3</w:t>
      </w:r>
      <w:r w:rsidRPr="004A1D98">
        <w:rPr>
          <w:rFonts w:ascii="Times New Roman" w:eastAsia="MS Gothic" w:hAnsi="Times New Roman" w:cs="Times New Roman"/>
          <w:b/>
          <w:bCs/>
          <w:color w:val="000000"/>
          <w:sz w:val="28"/>
          <w:szCs w:val="28"/>
          <w:lang w:val="lv-LV" w:eastAsia="lv-LV"/>
        </w:rPr>
        <w:t xml:space="preserve">.1. ZPI prasības attiecībā uz visiem iekārtu veidiem </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288BAD71"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C6B64E7"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F0AB342"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prasības un kritēriji</w:t>
            </w:r>
          </w:p>
        </w:tc>
      </w:tr>
      <w:tr w:rsidR="000D67AB" w:rsidRPr="004A1D98" w14:paraId="51EC9C6B"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97FF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priekšmets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E541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Tādu veselības aprūpes nozarē izmantojamu elektrisko un elektronisko iekārtu iepirkums, kam ir samazināta ietekme uz vidi. </w:t>
            </w:r>
          </w:p>
        </w:tc>
      </w:tr>
      <w:tr w:rsidR="000D67AB" w:rsidRPr="004A1D98" w14:paraId="46BC19A2" w14:textId="77777777" w:rsidTr="000A7815">
        <w:trPr>
          <w:trHeight w:val="481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9993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Tehniskās specifikācijas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71BAF"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INSTRUKCIJAS LIETOTĀJIEM PAR EKOLOĢISKO RAKSTURLIELUMU PĀRVALDĪBU </w:t>
            </w:r>
          </w:p>
          <w:p w14:paraId="7CADE09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Ir nodrošināta rokasgrāmata ar instrukcijām par to, kā maksimāli izmantot konkrētās medicīniskās iekārtas ekoloģiskos raksturlielumus, rakstveidā, vai nu īpašā lietotāja rokasgrāmatas daļā, vai digitālā formātā, kas pieejams ražotāja tīmekļa vietnē, vai CD, vai arī papīra formātā uz iepakojuma vai uz ražojuma pavaddokumentiem. Instrukciju rokasgrāmata būs pieejama kopā ar iekārtu. Dokumentācijā, kā minimālo prasību un nekaitējot iekārtas klīniskajiem raksturlielumiem, iekļauj šādu informāciju. </w:t>
            </w:r>
          </w:p>
          <w:p w14:paraId="358ED14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1.1.Instrukcijas lietotājiem par to, kā izmantot iekārtu, lai līdz minimumam samazinātu ietekmi uz vidi iekārtas uzstādīšanas, lietošanas, apkopes un pārstrādes/iznīcināšanas laikā, tostarp instrukcijas par to, kā līdz minimumam samazināt enerģijas un ūdens patēriņu, patērējamos materiālus/daļas, emisijas. </w:t>
            </w:r>
          </w:p>
          <w:p w14:paraId="42FFA6E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1.2.Ieteikumus par ražojuma pareizu tehnisko apkopi, tostarp informāciju par to, kuras rezerves daļas var nomainīt, tīrīšanas ieteikumus. </w:t>
            </w:r>
          </w:p>
          <w:p w14:paraId="64B1B28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1.3.Informāciju par atbilstoši šim līgumam iepirktajā (-os) ražojumā (-os) esošo tādu vielu saturu, kas iekļautas ļoti lielas bažas izraisošu vielu (SVHC) kandidātvielu sarakstā un kas noteiktas atbilstoši </w:t>
            </w:r>
            <w:r w:rsidRPr="004A1D98">
              <w:rPr>
                <w:rFonts w:ascii="Times New Roman" w:eastAsia="Times New Roman" w:hAnsi="Times New Roman" w:cs="Times New Roman"/>
                <w:bCs/>
                <w:color w:val="000000"/>
                <w:sz w:val="28"/>
                <w:szCs w:val="28"/>
                <w:lang w:val="lv-LV" w:eastAsia="ja-JP"/>
              </w:rPr>
              <w:t>Eiropas Parlamenta un Padomes 2006. gada 18. decembra Regulas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w:t>
            </w:r>
            <w:r w:rsidRPr="004A1D98">
              <w:rPr>
                <w:rFonts w:ascii="Times New Roman" w:eastAsia="Times New Roman" w:hAnsi="Times New Roman" w:cs="Times New Roman"/>
                <w:color w:val="000000"/>
                <w:sz w:val="28"/>
                <w:szCs w:val="28"/>
                <w:lang w:val="lv-LV" w:eastAsia="ja-JP"/>
              </w:rPr>
              <w:t xml:space="preserve"> 57. pantam, lai līgumslēdzēja iestāde veiktu atbilstošus piesardzības pasākumus, lai varētu nodrošināt, ka ražojuma lietotāji saņem informāciju un var attiecīgi rīkoties. </w:t>
            </w:r>
          </w:p>
          <w:p w14:paraId="101B702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 RAŽOJUMU EKSPLUATĀCIJAS ILGUMS UN GARANTIJA </w:t>
            </w:r>
          </w:p>
          <w:p w14:paraId="07AAC3C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Uz ražojumu attiecas ražotāja sniegta garantija remontam vai nomaiņai. Turklāt piegādātājs nodrošina, ka ir pieejamas oriģinālas vai līdzvērtīgas rezerves daļas (tieši vai ar citu izraudzītu pārstāvju starpniecību) iekārtas paredzētajam ekspluatācijas laikam vismaz 5 gadu garantijas laikā. </w:t>
            </w:r>
          </w:p>
          <w:p w14:paraId="3D25EFA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3. APMĀCĪBA ENERGOEFEKTIVITĀTES UZLABOŠANAS JOMĀ </w:t>
            </w:r>
          </w:p>
          <w:p w14:paraId="7366C5C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Piegādātājs nodrošina apmācību, kas ietver elementus saistībā ar iekārtas parametru, kuros izmanto elektrību (piemēram, gaidstāves režīms), pielāgošanu un noregulēšanu, lai optimizētu elektrības izmantošanu. Apmācību var ietvert klīniskajā un tehniskajā apmācībā, ko sniedz piegādātājs. </w:t>
            </w:r>
          </w:p>
          <w:p w14:paraId="48BD8E40"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4. UZSTĀDĪŠANA, UZLABOJOT ENERGOEFEKTIVITĀTI </w:t>
            </w:r>
          </w:p>
          <w:p w14:paraId="2B0700F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Piegādātājs, uzstādot iekārtu, sniedz lietotāja vajadzību novērtējumu (t. i., aprūpes nodaļā) (piemēram, par lietošanas biežumu, pārbaužu veidu u. c.). Pamatojoties uz analīzi, iegādātājs sniedz pasūtītājam dokumentāciju un informāciju par to, kā optimizēt iepirkto iekārtu elektroenerģijas patēriņa parametrus. Attiecīgā gadījumā šo procesu atkārto un pārskata katrā iekārtas profilaktiskās apkopes laikā, ko veic piegādātājs.</w:t>
            </w:r>
          </w:p>
        </w:tc>
      </w:tr>
      <w:tr w:rsidR="000D67AB" w:rsidRPr="004A1D98" w14:paraId="53F2FAF8"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2DE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Iepirkuma līguma izpildes noteikumi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DA66D"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INFORMĀCIJA PAR ĻOTI LIELAS BAŽAS IZRAISOŠU VIELU KANDIDĀTVIELU SARAKSTA SATURU </w:t>
            </w:r>
          </w:p>
          <w:p w14:paraId="0BC65D3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Piecu gadu laikā pēc ražojuma piegādes, 6 mēnešu laikā pēc tam, kad ECHA publicē pārskatītu SVHC kandidātvielu sarakstu, piegādātājs pasūtītāju informē par vienas vai vairāku šajā sarakstā esošo jauno vielu klātbūtni visos atbilstoši līgumam iepirktajos ražojumos, arī par riska pārvaldības dokumentācijas pārskata rezultātiem, lai pasūtītājs veiktu atbilstošus piesardzības pasākumus, t. i., lai varētu nodrošināt, ka ražojuma lietotāji saņem informāciju un var attiecīgi rīkoties. </w:t>
            </w:r>
          </w:p>
        </w:tc>
      </w:tr>
    </w:tbl>
    <w:p w14:paraId="2B92DCD4" w14:textId="4EA83172"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eastAsia="lv-LV"/>
        </w:rPr>
      </w:pPr>
      <w:r w:rsidRPr="004A1D98">
        <w:rPr>
          <w:rFonts w:ascii="Times New Roman" w:eastAsia="MS Gothic" w:hAnsi="Times New Roman" w:cs="Times New Roman"/>
          <w:b/>
          <w:bCs/>
          <w:color w:val="000000"/>
          <w:sz w:val="28"/>
          <w:szCs w:val="28"/>
          <w:lang w:val="lv-LV" w:eastAsia="lv-LV"/>
        </w:rPr>
        <w:t>1</w:t>
      </w:r>
      <w:r w:rsidR="00B64B25">
        <w:rPr>
          <w:rFonts w:ascii="Times New Roman" w:eastAsia="MS Gothic" w:hAnsi="Times New Roman" w:cs="Times New Roman"/>
          <w:b/>
          <w:bCs/>
          <w:color w:val="000000"/>
          <w:sz w:val="28"/>
          <w:szCs w:val="28"/>
          <w:lang w:val="lv-LV" w:eastAsia="lv-LV"/>
        </w:rPr>
        <w:t>3</w:t>
      </w:r>
      <w:r w:rsidRPr="004A1D98">
        <w:rPr>
          <w:rFonts w:ascii="Times New Roman" w:eastAsia="MS Gothic" w:hAnsi="Times New Roman" w:cs="Times New Roman"/>
          <w:b/>
          <w:bCs/>
          <w:color w:val="000000"/>
          <w:sz w:val="28"/>
          <w:szCs w:val="28"/>
          <w:lang w:val="lv-LV" w:eastAsia="lv-LV"/>
        </w:rPr>
        <w:t>.2. ZPI kritēriji energoefektivitātei</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1E97F3ED"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C2E7799"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DAF0677"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kritēriji</w:t>
            </w:r>
          </w:p>
        </w:tc>
      </w:tr>
      <w:tr w:rsidR="000D67AB" w:rsidRPr="004A1D98" w14:paraId="259992A9" w14:textId="77777777" w:rsidTr="000A7815">
        <w:trPr>
          <w:trHeight w:val="552"/>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85C4"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i/>
                <w:color w:val="000000"/>
                <w:sz w:val="28"/>
                <w:szCs w:val="28"/>
                <w:lang w:val="lv-LV" w:eastAsia="ja-JP"/>
              </w:rPr>
              <w:t>Energoefektivitātes prasības ir ierosinātas kā piedāvājuma izvērtēšanas</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
                <w:i/>
                <w:color w:val="000000"/>
                <w:sz w:val="28"/>
                <w:szCs w:val="28"/>
                <w:lang w:val="lv-LV" w:eastAsia="ja-JP"/>
              </w:rPr>
              <w:t xml:space="preserve">kritēriji. </w:t>
            </w:r>
          </w:p>
        </w:tc>
      </w:tr>
    </w:tbl>
    <w:p w14:paraId="0F9C2ACC"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p>
    <w:p w14:paraId="75229FEF"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 VESELĪBAS APRŪPES EEI ENERGOEFEKTIVITĀTE </w:t>
      </w:r>
    </w:p>
    <w:p w14:paraId="4C5E8D2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(neattiecas uz  DT iekārtām, hemodialīzes iekārtām, MRI, medicīniskiem autoklāviem un dezinfekcijas iekārtām) </w:t>
      </w:r>
    </w:p>
    <w:p w14:paraId="62592E3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atbilstoši enerģijas patēriņam dienā E (kWh)/dienā), kā norādīts turpmāk sniegtajā tabulā (jo zemāks enerģijas patēriņš dienā, jo vairāk punktu piešķir). </w:t>
      </w:r>
    </w:p>
    <w:p w14:paraId="124DC34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Režīmu definīcijas un ierosinātie verifikācijas līdzekļi ir norādīti vadlīnijās. Attiecībā uz inkubatoriem un medicīniskajām saldētavām punktus piešķir atbilstoši enerģijas patēriņam dienā uz tilpumu E (kWh/dienā un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w:t>
      </w:r>
    </w:p>
    <w:p w14:paraId="4C4A2EF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Pasūtītājam jānorāda iekārtas gaidāmie ikdienas lietošanas veidi ("pielāgotais scenārijs"), piegādātājam jānorāda iekārtas enerģijas patēriņš dažādos režīmos. Iepriekš noteiktais lietošanas scenārijs ir ieteikums pasūtītājam, pamatojoties uz parastajiem lietošanas scenārijiem Eiropas slimnīcās. Tomēr pasūtītājs var brīvi pielāgot lietošanas scenāriju īpašajām vajadzībām.</w:t>
      </w:r>
    </w:p>
    <w:tbl>
      <w:tblPr>
        <w:tblW w:w="8290" w:type="dxa"/>
        <w:tblInd w:w="108" w:type="dxa"/>
        <w:tblLayout w:type="fixed"/>
        <w:tblCellMar>
          <w:left w:w="10" w:type="dxa"/>
          <w:right w:w="10" w:type="dxa"/>
        </w:tblCellMar>
        <w:tblLook w:val="04A0" w:firstRow="1" w:lastRow="0" w:firstColumn="1" w:lastColumn="0" w:noHBand="0" w:noVBand="1"/>
      </w:tblPr>
      <w:tblGrid>
        <w:gridCol w:w="1418"/>
        <w:gridCol w:w="1134"/>
        <w:gridCol w:w="137"/>
        <w:gridCol w:w="1275"/>
        <w:gridCol w:w="1418"/>
        <w:gridCol w:w="1281"/>
        <w:gridCol w:w="1627"/>
      </w:tblGrid>
      <w:tr w:rsidR="000D67AB" w:rsidRPr="004A1D98" w14:paraId="76676902" w14:textId="77777777" w:rsidTr="000A7815">
        <w:trPr>
          <w:tblHeader/>
        </w:trPr>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F8E3A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Iekārta</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42EF7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Režīms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E961A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Pielāgots scenārijs</w:t>
            </w:r>
          </w:p>
          <w:p w14:paraId="7153165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Norāda pasūtītājs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8D9C1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Iepriekš noteikts lietošanas scenārijs</w:t>
            </w:r>
          </w:p>
          <w:p w14:paraId="22AA190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(norādījumi)</w:t>
            </w:r>
          </w:p>
        </w:tc>
        <w:tc>
          <w:tcPr>
            <w:tcW w:w="12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8E6F3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Enerģija lietošanas posmā</w:t>
            </w:r>
          </w:p>
          <w:p w14:paraId="5D4C823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Norāda piegādātājs</w:t>
            </w:r>
          </w:p>
        </w:tc>
        <w:tc>
          <w:tcPr>
            <w:tcW w:w="16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2D5D76"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Enerģijas patēriņa (E) aprēķins</w:t>
            </w:r>
          </w:p>
        </w:tc>
      </w:tr>
      <w:tr w:rsidR="000D67AB" w:rsidRPr="004A1D98" w14:paraId="41390D84" w14:textId="77777777" w:rsidTr="000A7815">
        <w:trPr>
          <w:trHeight w:val="23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45634"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 xml:space="preserve">Aktīvais elpošanas gāzu mitrinātājs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BF910"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Aktīvs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E8B2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CC3F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7879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8AA8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b/>
                <w:color w:val="000000"/>
                <w:sz w:val="28"/>
                <w:szCs w:val="28"/>
                <w:lang w:val="lv-LV" w:eastAsia="ja-JP"/>
              </w:rPr>
              <w:t xml:space="preserve">E </w:t>
            </w:r>
          </w:p>
          <w:p w14:paraId="4932E99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(kWh) dienā</w:t>
            </w:r>
          </w:p>
        </w:tc>
      </w:tr>
      <w:tr w:rsidR="000D67AB" w:rsidRPr="004A1D98" w14:paraId="04ACAEF1" w14:textId="77777777" w:rsidTr="000A7815">
        <w:trPr>
          <w:trHeight w:val="23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866DB"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BA98"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94DA8"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50A36"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58DD6"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rPr>
            </w:pPr>
            <w:r w:rsidRPr="004A1D98">
              <w:rPr>
                <w:rFonts w:ascii="Times New Roman" w:eastAsia="Times New Roman" w:hAnsi="Times New Roman" w:cs="Times New Roman"/>
                <w:i/>
                <w:color w:val="000000"/>
                <w:sz w:val="28"/>
                <w:szCs w:val="28"/>
                <w:lang w:val="lv-LV" w:eastAsia="ja-JP"/>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F2AD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37740AEA"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005D3"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 xml:space="preserve">Pacientu novērošanas monitori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C6B4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Aktīvs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C9E4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0933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D3A4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20C7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b/>
                <w:color w:val="000000"/>
                <w:sz w:val="28"/>
                <w:szCs w:val="28"/>
                <w:lang w:val="lv-LV" w:eastAsia="ja-JP"/>
              </w:rPr>
              <w:t xml:space="preserve">E </w:t>
            </w:r>
          </w:p>
          <w:p w14:paraId="31E4F41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(kWh) dienā</w:t>
            </w:r>
          </w:p>
        </w:tc>
      </w:tr>
      <w:tr w:rsidR="000D67AB" w:rsidRPr="004A1D98" w14:paraId="1A9D796C"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38B9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E54B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4503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104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DB77B"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rPr>
            </w:pPr>
            <w:r w:rsidRPr="004A1D98">
              <w:rPr>
                <w:rFonts w:ascii="Times New Roman" w:eastAsia="Times New Roman" w:hAnsi="Times New Roman" w:cs="Times New Roman"/>
                <w:i/>
                <w:color w:val="000000"/>
                <w:sz w:val="28"/>
                <w:szCs w:val="28"/>
                <w:lang w:val="lv-LV" w:eastAsia="ja-JP"/>
              </w:rPr>
              <w:t>P = jauda (kW)</w:t>
            </w:r>
            <w:r w:rsidRPr="004A1D98">
              <w:rPr>
                <w:rFonts w:ascii="Times New Roman" w:eastAsia="Times New Roman" w:hAnsi="Times New Roman" w:cs="Times New Roman"/>
                <w:i/>
                <w:color w:val="000000"/>
                <w:sz w:val="28"/>
                <w:szCs w:val="28"/>
                <w:lang w:val="lv-LV"/>
              </w:rPr>
              <w:t xml:space="preserve"> </w:t>
            </w:r>
            <w:r w:rsidRPr="004A1D98">
              <w:rPr>
                <w:rFonts w:ascii="Times New Roman" w:eastAsia="Times New Roman" w:hAnsi="Times New Roman" w:cs="Times New Roman"/>
                <w:i/>
                <w:color w:val="000000"/>
                <w:sz w:val="28"/>
                <w:szCs w:val="28"/>
                <w:lang w:val="lv-LV" w:eastAsia="ja-JP"/>
              </w:rPr>
              <w:t>Jaudas mērījumi atbilstoši vadlīnijās norādītajam</w:t>
            </w:r>
          </w:p>
          <w:p w14:paraId="0AA494B2"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 </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92E2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0A5007D9"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7EE7D"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EKG</w:t>
            </w:r>
            <w:r w:rsidRPr="004A1D98">
              <w:rPr>
                <w:rFonts w:ascii="Times New Roman" w:eastAsia="Times New Roman" w:hAnsi="Times New Roman" w:cs="Times New Roman"/>
                <w:color w:val="000000"/>
                <w:sz w:val="28"/>
                <w:szCs w:val="28"/>
                <w:lang w:val="lv-LV" w:eastAsia="ja-JP"/>
              </w:rPr>
              <w:t xml:space="preserve"> (elektrokardio-grāfijas) iekārta (diagnostikas)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50B7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6078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FC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5647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BC42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(T</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color w:val="000000"/>
                <w:sz w:val="28"/>
                <w:szCs w:val="28"/>
                <w:vertAlign w:val="subscript"/>
                <w:lang w:val="lv-LV" w:eastAsia="ja-JP"/>
              </w:rPr>
              <w:t xml:space="preserve"> </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1FFFDC92"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9CBD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E30A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Gaidstāve (ierīcēm, kam ir šāds režīms)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C607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C7B4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2</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1734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F947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0AB2FFC5"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D953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175EE"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61256" w14:textId="77777777" w:rsidR="000D67AB" w:rsidRPr="004A1D98" w:rsidRDefault="000D67AB" w:rsidP="00426910">
            <w:pPr>
              <w:suppressAutoHyphens/>
              <w:autoSpaceDN w:val="0"/>
              <w:spacing w:before="120" w:after="120" w:line="240" w:lineRule="auto"/>
              <w:ind w:hanging="72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A562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 xml:space="preserve"> = 20</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7884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3</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5016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5BEC43AF"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E30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3B7A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8E857"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T = laiks, stundu skaits aktuālajā režīmā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642AC"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89E00"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rPr>
            </w:pPr>
            <w:r w:rsidRPr="004A1D98">
              <w:rPr>
                <w:rFonts w:ascii="Times New Roman" w:eastAsia="Times New Roman" w:hAnsi="Times New Roman" w:cs="Times New Roman"/>
                <w:i/>
                <w:color w:val="000000"/>
                <w:sz w:val="28"/>
                <w:szCs w:val="28"/>
                <w:lang w:val="lv-LV" w:eastAsia="ja-JP"/>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20D7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311545BD"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D7129"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Endoskopiskā iekārta</w:t>
            </w:r>
            <w:r w:rsidRPr="004A1D98">
              <w:rPr>
                <w:rFonts w:ascii="Times New Roman" w:eastAsia="Times New Roman" w:hAnsi="Times New Roman" w:cs="Times New Roman"/>
                <w:color w:val="000000"/>
                <w:sz w:val="28"/>
                <w:szCs w:val="28"/>
                <w:lang w:val="lv-LV" w:eastAsia="ja-JP"/>
              </w:rPr>
              <w:t xml:space="preserve"> (kamera, endoskops, gaisma, kompresors)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AEA8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49642"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 xml:space="preserve">1 </w:t>
            </w:r>
            <w:r w:rsidRPr="004A1D98">
              <w:rPr>
                <w:rFonts w:ascii="Times New Roman" w:eastAsia="Times New Roman" w:hAnsi="Times New Roman" w:cs="Times New Roman"/>
                <w:color w:val="000000"/>
                <w:sz w:val="28"/>
                <w:szCs w:val="28"/>
                <w:lang w:val="lv-LV" w:eastAsia="ja-JP"/>
              </w:rPr>
              <w:t xml:space="preserve">= stundu skaits šajā režīmā dienā, ievērojot šādus nosacījumus, ko attiecībā uz gaismas avotu norādījis pasūtītājs: </w:t>
            </w:r>
          </w:p>
          <w:p w14:paraId="012551EC"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Lux = gaismas intensitāte; Ra = krāsu atveides indekss; krāsu temperatūra (kelvinos); ekspluatācijas ilgums stundās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48C9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 xml:space="preserve">1 </w:t>
            </w:r>
            <w:r w:rsidRPr="004A1D98">
              <w:rPr>
                <w:rFonts w:ascii="Times New Roman" w:eastAsia="Times New Roman" w:hAnsi="Times New Roman" w:cs="Times New Roman"/>
                <w:color w:val="000000"/>
                <w:sz w:val="28"/>
                <w:szCs w:val="28"/>
                <w:lang w:val="lv-LV" w:eastAsia="ja-JP"/>
              </w:rPr>
              <w:t>= 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2967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2F9C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40A9CB58"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12ED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DC28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Izslēgts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C43C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2075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 xml:space="preserve">2 </w:t>
            </w:r>
            <w:r w:rsidRPr="004A1D98">
              <w:rPr>
                <w:rFonts w:ascii="Times New Roman" w:eastAsia="Times New Roman" w:hAnsi="Times New Roman" w:cs="Times New Roman"/>
                <w:color w:val="000000"/>
                <w:sz w:val="28"/>
                <w:szCs w:val="28"/>
                <w:lang w:val="lv-LV" w:eastAsia="ja-JP"/>
              </w:rPr>
              <w:t>= 19</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11FE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0AAE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7DC7BE37"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ABE0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8917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7A2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T = laiks, stundu skaits aktuālajā režīmā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4C272"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4639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C3E1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42A25486"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94275"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AF ķirurģiskās iekārtas, diatermijas iekārtas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773B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Aktīvs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F455E"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ekspluatācijas stundu skaits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4F3B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6F27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w:t>
            </w:r>
            <w:r w:rsidRPr="004A1D98">
              <w:rPr>
                <w:rFonts w:ascii="Times New Roman" w:eastAsia="Times New Roman" w:hAnsi="Times New Roman" w:cs="Times New Roman"/>
                <w:color w:val="000000"/>
                <w:sz w:val="28"/>
                <w:szCs w:val="28"/>
                <w:vertAlign w:val="subscript"/>
                <w:lang w:val="lv-LV" w:eastAsia="lv-LV"/>
              </w:rPr>
              <w:t xml:space="preserve">1 </w:t>
            </w:r>
            <w:r w:rsidRPr="004A1D98">
              <w:rPr>
                <w:rFonts w:ascii="Times New Roman" w:eastAsia="Times New Roman" w:hAnsi="Times New Roman" w:cs="Times New Roman"/>
                <w:color w:val="000000"/>
                <w:sz w:val="28"/>
                <w:szCs w:val="28"/>
                <w:lang w:val="lv-LV" w:eastAsia="lv-LV"/>
              </w:rPr>
              <w:t xml:space="preserve">= mēra ar slodzi 500 Ω vienpola un 50 Ω — divpolu iekārtām, ilgums 30 sekundes) </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0E5F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5C9B423C"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169D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5B8FE"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Izslēgts </w:t>
            </w:r>
          </w:p>
          <w:p w14:paraId="63E6ACF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708AE"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ekspluatācijas stundu skaits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4B97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19</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54F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355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6B2211E8"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8E18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0907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2DA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i/>
                <w:color w:val="000000"/>
                <w:sz w:val="28"/>
                <w:szCs w:val="28"/>
                <w:lang w:val="lv-LV" w:eastAsia="ja-JP"/>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C16C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Ieteiktais lietošanas scenārijs</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2640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 = jauda (kW) Jaudas mērījumi atbilstoši vadlīnijās norādītajam</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3251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59E0195B"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5E07A"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Inkubators zīdaiņiem (stacionārs) </w:t>
            </w:r>
          </w:p>
          <w:p w14:paraId="0351711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BCE0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Aktīvs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CB4FF"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Precizēt: vieta pacientiem, piemēram, vieta pacientiem līdz 6 kg un 60 cm garumam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8772C"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inkubators ir piemērots līdz 6 kg smagiem un 60 cm gariem pacientiem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B955"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E</w:t>
            </w:r>
            <w:r w:rsidRPr="004A1D98">
              <w:rPr>
                <w:rFonts w:ascii="Times New Roman" w:eastAsia="Times New Roman" w:hAnsi="Times New Roman" w:cs="Times New Roman"/>
                <w:color w:val="000000"/>
                <w:sz w:val="28"/>
                <w:szCs w:val="28"/>
                <w:vertAlign w:val="subscript"/>
                <w:lang w:val="lv-LV" w:eastAsia="ja-JP"/>
              </w:rPr>
              <w:t xml:space="preserve">1 </w:t>
            </w:r>
            <w:r w:rsidRPr="004A1D98">
              <w:rPr>
                <w:rFonts w:ascii="Times New Roman" w:eastAsia="Times New Roman" w:hAnsi="Times New Roman" w:cs="Times New Roman"/>
                <w:color w:val="000000"/>
                <w:sz w:val="28"/>
                <w:szCs w:val="28"/>
                <w:lang w:val="lv-LV" w:eastAsia="ja-JP"/>
              </w:rPr>
              <w:t>= (T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uz V</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F6B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V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0430720B"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9A58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0145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tiks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947D1" w14:textId="77777777" w:rsidR="000D67AB" w:rsidRPr="004A1D98" w:rsidRDefault="000D67AB" w:rsidP="00426910">
            <w:pPr>
              <w:spacing w:before="100" w:after="10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T = laiks, stundu skaits aktuālajā režīmā dienā </w:t>
            </w:r>
          </w:p>
          <w:p w14:paraId="52F4DA3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i/>
                <w:color w:val="000000"/>
                <w:sz w:val="28"/>
                <w:szCs w:val="28"/>
                <w:lang w:val="lv-LV" w:eastAsia="ja-JP"/>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46027"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p w14:paraId="23C9686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i/>
                <w:color w:val="000000"/>
                <w:sz w:val="28"/>
                <w:szCs w:val="28"/>
                <w:lang w:val="lv-LV" w:eastAsia="ja-JP"/>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7D02E"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 = jauda (kW) Jaudas mērījumi atbilstoši vadlīnijās norādītajam</w:t>
            </w:r>
          </w:p>
          <w:p w14:paraId="26BA1921" w14:textId="77777777" w:rsidR="000D67AB" w:rsidRPr="004A1D98" w:rsidRDefault="000D67AB" w:rsidP="00426910">
            <w:pPr>
              <w:suppressAutoHyphens/>
              <w:autoSpaceDN w:val="0"/>
              <w:spacing w:before="100" w:after="10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V = tāda inkubatora tilpums (m</w:t>
            </w:r>
            <w:r w:rsidRPr="004A1D98">
              <w:rPr>
                <w:rFonts w:ascii="Times New Roman" w:eastAsia="Times New Roman" w:hAnsi="Times New Roman" w:cs="Times New Roman"/>
                <w:i/>
                <w:color w:val="000000"/>
                <w:sz w:val="28"/>
                <w:szCs w:val="28"/>
                <w:vertAlign w:val="superscript"/>
                <w:lang w:val="lv-LV" w:eastAsia="ja-JP"/>
              </w:rPr>
              <w:t>3</w:t>
            </w:r>
            <w:r w:rsidRPr="004A1D98">
              <w:rPr>
                <w:rFonts w:ascii="Times New Roman" w:eastAsia="Times New Roman" w:hAnsi="Times New Roman" w:cs="Times New Roman"/>
                <w:i/>
                <w:color w:val="000000"/>
                <w:sz w:val="28"/>
                <w:szCs w:val="28"/>
                <w:lang w:val="lv-LV" w:eastAsia="ja-JP"/>
              </w:rPr>
              <w:t xml:space="preserve">), kas atbilst nosacījumiem (vieta), kurus norādījis pasūtītājs </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2C51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0E7E67CC"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3C7E4"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Infūzijas sūkņi un perfuzori </w:t>
            </w:r>
          </w:p>
          <w:p w14:paraId="2D68630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AC36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Aktīvs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810E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E364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14</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4338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8B82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001289F6"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0C19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FBECE"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D5D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2FC9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10</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FCBE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EEB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2116A244"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3494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325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F151F"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F8FD"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1DAA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D085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764A7FCA"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BD34E" w14:textId="77777777" w:rsidR="000D67AB" w:rsidRPr="004A1D98" w:rsidRDefault="000D67AB" w:rsidP="00426910">
            <w:pPr>
              <w:spacing w:before="100" w:after="10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Ķirurģiskie lāzerinstrumenti, vienlaidu lāzeri </w:t>
            </w:r>
          </w:p>
          <w:p w14:paraId="69C657E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77A2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63BA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C527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4410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F59F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(T</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color w:val="000000"/>
                <w:sz w:val="28"/>
                <w:szCs w:val="28"/>
                <w:vertAlign w:val="subscript"/>
                <w:lang w:val="lv-LV" w:eastAsia="ja-JP"/>
              </w:rPr>
              <w:t xml:space="preserve"> </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559CAEDB"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5514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1C6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Gaidstāve (lāzera gaidstāve)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9C4A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A077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4</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D676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4A7F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3082EB5E"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CF89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AEFA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80E1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0718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 xml:space="preserve"> = 15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0093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3</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EF75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44DB29DA"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C422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387B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tiks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99F37"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DDBDF"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Ieteiktais lietošanas scenārijs </w:t>
            </w:r>
          </w:p>
          <w:p w14:paraId="2858BA2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i/>
                <w:color w:val="000000"/>
                <w:sz w:val="28"/>
                <w:szCs w:val="28"/>
                <w:lang w:val="lv-LV" w:eastAsia="ja-JP"/>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A3039"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P = jauda (kW). Jaudas mērījumi atbilstoši vadlīnijās norādītajam</w:t>
            </w:r>
          </w:p>
          <w:p w14:paraId="2948F48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i/>
                <w:color w:val="000000"/>
                <w:sz w:val="28"/>
                <w:szCs w:val="28"/>
                <w:lang w:val="lv-LV" w:eastAsia="ja-JP"/>
              </w:rPr>
            </w:pP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397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426697F1"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15CD9"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Medicīniskās saldētavas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3C3B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Aktīvs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A62F"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 Precizēt: saldētavas izmantojamais tilpums, iekšējā tilpuma garums, platums un augstums = V, tilpums (m</w:t>
            </w:r>
            <w:r w:rsidRPr="004A1D98">
              <w:rPr>
                <w:rFonts w:ascii="Times New Roman" w:eastAsia="Times New Roman" w:hAnsi="Times New Roman" w:cs="Times New Roman"/>
                <w:color w:val="000000"/>
                <w:sz w:val="28"/>
                <w:szCs w:val="28"/>
                <w:vertAlign w:val="superscript"/>
                <w:lang w:val="lv-LV" w:eastAsia="ja-JP"/>
              </w:rPr>
              <w:t>3</w:t>
            </w:r>
            <w:r w:rsidRPr="004A1D98">
              <w:rPr>
                <w:rFonts w:ascii="Times New Roman" w:eastAsia="Times New Roman" w:hAnsi="Times New Roman" w:cs="Times New Roman"/>
                <w:color w:val="000000"/>
                <w:sz w:val="28"/>
                <w:szCs w:val="28"/>
                <w:lang w:val="lv-LV" w:eastAsia="ja-JP"/>
              </w:rPr>
              <w:t xml:space="preserve">), kā arī nepieciešamā temperatūra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F321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6E1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9BBC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V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5B145B9A"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FC4C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BEF8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tiks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1494A"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T = laiks</w:t>
            </w:r>
          </w:p>
          <w:p w14:paraId="3B1572A7"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V = tilpums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C312E"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9A9C"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P = jauda (kW). Jaudas mērījumi atbilstoši vadlīnijās norādītajam </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337E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68E1AC75"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B1643"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Medicīniskais apgaismojums (operāciju zāles lampas) </w:t>
            </w:r>
          </w:p>
          <w:p w14:paraId="3F61D0B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10E8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Aktīvs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6B878"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w:t>
            </w:r>
            <w:r w:rsidRPr="004A1D98">
              <w:rPr>
                <w:rFonts w:ascii="Times New Roman" w:eastAsia="Times New Roman" w:hAnsi="Times New Roman" w:cs="Times New Roman"/>
                <w:color w:val="000000"/>
                <w:sz w:val="28"/>
                <w:szCs w:val="28"/>
                <w:vertAlign w:val="subscript"/>
                <w:lang w:val="lv-LV" w:eastAsia="lv-LV"/>
              </w:rPr>
              <w:t xml:space="preserve">1 </w:t>
            </w:r>
            <w:r w:rsidRPr="004A1D98">
              <w:rPr>
                <w:rFonts w:ascii="Times New Roman" w:eastAsia="Times New Roman" w:hAnsi="Times New Roman" w:cs="Times New Roman"/>
                <w:color w:val="000000"/>
                <w:sz w:val="28"/>
                <w:szCs w:val="28"/>
                <w:lang w:val="lv-LV" w:eastAsia="lv-LV"/>
              </w:rPr>
              <w:t xml:space="preserve">= stundu skaits šajā režīmā dienā, ievērojot šādus nosacījumus, ko norādījis pasūtītājs: Lux = gaismas intensitāte; </w:t>
            </w:r>
          </w:p>
          <w:p w14:paraId="1F3F9742"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Ra = krāsu atveides indekss;</w:t>
            </w:r>
          </w:p>
          <w:p w14:paraId="659A7346"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T</w:t>
            </w:r>
            <w:r w:rsidRPr="004A1D98">
              <w:rPr>
                <w:rFonts w:ascii="Times New Roman" w:eastAsia="Times New Roman" w:hAnsi="Times New Roman" w:cs="Times New Roman"/>
                <w:color w:val="000000"/>
                <w:sz w:val="28"/>
                <w:szCs w:val="28"/>
                <w:vertAlign w:val="superscript"/>
                <w:lang w:val="lv-LV" w:eastAsia="lv-LV"/>
              </w:rPr>
              <w:t>o</w:t>
            </w:r>
            <w:r w:rsidRPr="004A1D98">
              <w:rPr>
                <w:rFonts w:ascii="Times New Roman" w:eastAsia="Times New Roman" w:hAnsi="Times New Roman" w:cs="Times New Roman"/>
                <w:color w:val="000000"/>
                <w:sz w:val="28"/>
                <w:szCs w:val="28"/>
                <w:lang w:val="lv-LV" w:eastAsia="lv-LV"/>
              </w:rPr>
              <w:t xml:space="preserve"> = krāsu temperatūra (kelvinos); ekspluatācijas ilgums stundās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53C6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8</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A9AC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 xml:space="preserve">1 </w:t>
            </w:r>
            <w:r w:rsidRPr="004A1D98">
              <w:rPr>
                <w:rFonts w:ascii="Times New Roman" w:eastAsia="Times New Roman" w:hAnsi="Times New Roman" w:cs="Times New Roman"/>
                <w:color w:val="000000"/>
                <w:sz w:val="28"/>
                <w:szCs w:val="28"/>
                <w:lang w:val="lv-LV" w:eastAsia="ja-JP"/>
              </w:rPr>
              <w:t xml:space="preserve">= mērot lampas tipam, kas atbilst pasūtītāja norādītajiem nosacījumiem </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F8A1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4851F89B"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1FA5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EB74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9CB1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07F2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16</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AE08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52B7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221087DE"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B33D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1922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0DF73"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90D3A"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4ABA"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P = jauda (kW). Jaudas mērījumi atbilstoši vadlīnijās norādītajam </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A78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40F5EB1C"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9199A" w14:textId="77777777" w:rsidR="000D67AB" w:rsidRPr="004A1D98" w:rsidRDefault="000D67AB" w:rsidP="00426910">
            <w:pPr>
              <w:spacing w:before="100" w:after="10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Pacientu sildīšanas sistēmas (segas, polsteri, matrači) </w:t>
            </w:r>
          </w:p>
          <w:p w14:paraId="7C980D7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AB85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Aktīvs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F07D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DD23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9</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7ABC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CD7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78D02BAA"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95B9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AFE6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E93C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720E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15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932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A642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1CC8598A"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8054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E690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0FAC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18313"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E6790"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7DC3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3B3547F1"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FCD0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Ar piespiedu ventilācijas ierīci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8E0A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Aktīvs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3EF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C55B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9</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0E1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P</w:t>
            </w:r>
            <w:r w:rsidRPr="004A1D98">
              <w:rPr>
                <w:rFonts w:ascii="Times New Roman" w:eastAsia="Times New Roman" w:hAnsi="Times New Roman" w:cs="Times New Roman"/>
                <w:color w:val="000000"/>
                <w:sz w:val="28"/>
                <w:szCs w:val="28"/>
                <w:vertAlign w:val="subscript"/>
                <w:lang w:val="lv-LV" w:eastAsia="ja-JP"/>
              </w:rPr>
              <w:t>F</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CFEB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F</w:t>
            </w:r>
            <w:r w:rsidRPr="004A1D98">
              <w:rPr>
                <w:rFonts w:ascii="Times New Roman" w:eastAsia="Times New Roman" w:hAnsi="Times New Roman" w:cs="Times New Roman"/>
                <w:color w:val="000000"/>
                <w:sz w:val="28"/>
                <w:szCs w:val="28"/>
                <w:lang w:val="lv-LV" w:eastAsia="ja-JP"/>
              </w:rPr>
              <w:t>)+ (T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68E06595"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B3A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9017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A84E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A6F9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15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882A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8DF0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432B44AD"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5E9C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58F2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145D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173A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E444E"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P=jauda (kW). Jaudas mērījumi atbilstoši vadlīnijās norādītajam.</w:t>
            </w:r>
          </w:p>
          <w:p w14:paraId="4BBF2320"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P</w:t>
            </w:r>
            <w:r w:rsidRPr="004A1D98">
              <w:rPr>
                <w:rFonts w:ascii="Times New Roman" w:eastAsia="Times New Roman" w:hAnsi="Times New Roman" w:cs="Times New Roman"/>
                <w:i/>
                <w:color w:val="000000"/>
                <w:sz w:val="28"/>
                <w:szCs w:val="28"/>
                <w:vertAlign w:val="subscript"/>
                <w:lang w:val="lv-LV" w:eastAsia="lv-LV"/>
              </w:rPr>
              <w:t>F</w:t>
            </w:r>
            <w:r w:rsidRPr="004A1D98">
              <w:rPr>
                <w:rFonts w:ascii="Times New Roman" w:eastAsia="Times New Roman" w:hAnsi="Times New Roman" w:cs="Times New Roman"/>
                <w:i/>
                <w:color w:val="000000"/>
                <w:sz w:val="28"/>
                <w:szCs w:val="28"/>
                <w:lang w:val="lv-LV" w:eastAsia="lv-LV"/>
              </w:rPr>
              <w:t xml:space="preserve"> = piespiedu ventilācijas ierīces jauda </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364B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0667BFC4" w14:textId="77777777" w:rsidTr="000A7815">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8147"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Ultraskaņas iekārta, izņemot terapeitisko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A783B"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Skenēšana/ skenēšanas gatavība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379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872A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6</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224A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46A1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(T</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color w:val="000000"/>
                <w:sz w:val="28"/>
                <w:szCs w:val="28"/>
                <w:vertAlign w:val="subscript"/>
                <w:lang w:val="lv-LV" w:eastAsia="ja-JP"/>
              </w:rPr>
              <w:t xml:space="preserve"> </w:t>
            </w:r>
            <w:r w:rsidRPr="004A1D98">
              <w:rPr>
                <w:rFonts w:ascii="Times New Roman" w:eastAsia="Times New Roman" w:hAnsi="Times New Roman" w:cs="Times New Roman"/>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026A4599"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484E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AEBA1"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Gaidstāve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E604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1112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6</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2BA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3BD1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582B131D"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CA61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BCFD2"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Izslēgts </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0562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5C5B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3</w:t>
            </w:r>
            <w:r w:rsidRPr="004A1D98">
              <w:rPr>
                <w:rFonts w:ascii="Times New Roman" w:eastAsia="Times New Roman" w:hAnsi="Times New Roman" w:cs="Times New Roman"/>
                <w:color w:val="000000"/>
                <w:sz w:val="28"/>
                <w:szCs w:val="28"/>
                <w:lang w:val="lv-LV" w:eastAsia="ja-JP"/>
              </w:rPr>
              <w:t xml:space="preserve"> = 12</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0176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3</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F0E0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290CE964"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2C2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C91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sniegtas vadlīnijās</w:t>
            </w:r>
          </w:p>
        </w:tc>
        <w:tc>
          <w:tcPr>
            <w:tcW w:w="14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2BC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05D5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ACFB1"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8C6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308030B0" w14:textId="77777777" w:rsidTr="000A7815">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26DF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c>
          <w:tcPr>
            <w:tcW w:w="524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2090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Ar bateriju darbināmām ultraskaņas iekārtām:</w:t>
            </w:r>
          </w:p>
          <w:p w14:paraId="6AC23407"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Enerģijas patēriņš (kWh), lai pilnībā uzlādētu bateriju: E</w:t>
            </w:r>
            <w:r w:rsidRPr="004A1D98">
              <w:rPr>
                <w:rFonts w:ascii="Times New Roman" w:eastAsia="Times New Roman" w:hAnsi="Times New Roman" w:cs="Times New Roman"/>
                <w:color w:val="000000"/>
                <w:sz w:val="28"/>
                <w:szCs w:val="28"/>
                <w:vertAlign w:val="subscript"/>
                <w:lang w:val="lv-LV" w:eastAsia="lv-LV"/>
              </w:rPr>
              <w:t>charge</w:t>
            </w:r>
            <w:r w:rsidRPr="004A1D98">
              <w:rPr>
                <w:rFonts w:ascii="Times New Roman" w:eastAsia="Times New Roman" w:hAnsi="Times New Roman" w:cs="Times New Roman"/>
                <w:color w:val="000000"/>
                <w:sz w:val="28"/>
                <w:szCs w:val="28"/>
                <w:lang w:val="lv-LV" w:eastAsia="lv-LV"/>
              </w:rPr>
              <w:t xml:space="preserve"> </w:t>
            </w:r>
          </w:p>
          <w:p w14:paraId="3752D77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Enerģijas patēriņš dienā ar bateriju darbināmiem modeļiem: E</w:t>
            </w:r>
            <w:r w:rsidRPr="004A1D98">
              <w:rPr>
                <w:rFonts w:ascii="Times New Roman" w:eastAsia="Times New Roman" w:hAnsi="Times New Roman" w:cs="Times New Roman"/>
                <w:color w:val="000000"/>
                <w:sz w:val="28"/>
                <w:szCs w:val="28"/>
                <w:vertAlign w:val="subscript"/>
                <w:lang w:val="lv-LV" w:eastAsia="lv-LV"/>
              </w:rPr>
              <w:t>charge</w:t>
            </w:r>
            <w:r w:rsidRPr="004A1D98">
              <w:rPr>
                <w:rFonts w:ascii="Times New Roman" w:eastAsia="Times New Roman" w:hAnsi="Times New Roman" w:cs="Times New Roman"/>
                <w:color w:val="000000"/>
                <w:sz w:val="28"/>
                <w:szCs w:val="28"/>
                <w:lang w:val="lv-LV" w:eastAsia="lv-LV"/>
              </w:rPr>
              <w:t>* 3</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1ECA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b/>
                <w:color w:val="000000"/>
                <w:sz w:val="28"/>
                <w:szCs w:val="28"/>
                <w:lang w:val="lv-LV" w:eastAsia="ja-JP"/>
              </w:rPr>
            </w:pPr>
          </w:p>
        </w:tc>
      </w:tr>
      <w:tr w:rsidR="000D67AB" w:rsidRPr="004A1D98" w14:paraId="77612BA1" w14:textId="77777777" w:rsidTr="000A7815">
        <w:trPr>
          <w:trHeight w:val="44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89300"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Ventilatori </w:t>
            </w:r>
            <w:r w:rsidRPr="004A1D98">
              <w:rPr>
                <w:rFonts w:ascii="Times New Roman" w:eastAsia="Times New Roman" w:hAnsi="Times New Roman" w:cs="Times New Roman"/>
                <w:i/>
                <w:color w:val="000000"/>
                <w:sz w:val="28"/>
                <w:szCs w:val="28"/>
                <w:lang w:val="lv-LV" w:eastAsia="lv-LV"/>
              </w:rPr>
              <w:t>(intensīvās aprūpes ventilatori, izņemot transporta ventilatorus, anestēzijas ventilatori, izņemot mājas ventilatorus)</w:t>
            </w:r>
            <w:r w:rsidRPr="004A1D98">
              <w:rPr>
                <w:rFonts w:ascii="Times New Roman" w:eastAsia="Times New Roman" w:hAnsi="Times New Roman" w:cs="Times New Roman"/>
                <w:b/>
                <w:color w:val="000000"/>
                <w:sz w:val="28"/>
                <w:szCs w:val="28"/>
                <w:lang w:val="lv-LV" w:eastAsia="lv-LV"/>
              </w:rPr>
              <w:t xml:space="preserve"> </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C3EA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Aktīvs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CED8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131D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24 h</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261E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3599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64D2A00A" w14:textId="77777777" w:rsidTr="000A7815">
        <w:trPr>
          <w:trHeight w:val="440"/>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3B2CD"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F514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vadlīnijās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E7687"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T = laiks, stundu skaits aktuālajā režīmā dienā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5C91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Ieteiktais lietošanas scenārijs</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FA1F0"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P = jauda (kW). Jaudas mērījumi atbilstoši vadlīnijās norādītajam</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459B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tc>
      </w:tr>
      <w:tr w:rsidR="000D67AB" w:rsidRPr="004A1D98" w14:paraId="6100C749" w14:textId="77777777" w:rsidTr="000A7815">
        <w:trPr>
          <w:trHeight w:val="7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2824F"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Rentgena iekārtas, tostarp mamogrāfijas, izņemot osteoporozes</w:t>
            </w: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E195F"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Gaidstāve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010FB"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81AE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 xml:space="preserve"> = 15</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6F0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p>
        </w:tc>
        <w:tc>
          <w:tcPr>
            <w:tcW w:w="16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C1CFB"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1</w:t>
            </w: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w:t>
            </w:r>
            <w:r w:rsidRPr="004A1D98">
              <w:rPr>
                <w:rFonts w:ascii="Times New Roman" w:eastAsia="Times New Roman" w:hAnsi="Times New Roman" w:cs="Times New Roman"/>
                <w:b/>
                <w:color w:val="000000"/>
                <w:sz w:val="28"/>
                <w:szCs w:val="28"/>
                <w:lang w:val="lv-LV" w:eastAsia="ja-JP"/>
              </w:rPr>
              <w:t>E (kWh) dienā</w:t>
            </w:r>
          </w:p>
        </w:tc>
      </w:tr>
      <w:tr w:rsidR="000D67AB" w:rsidRPr="004A1D98" w14:paraId="6C45C492" w14:textId="77777777" w:rsidTr="000A7815">
        <w:trPr>
          <w:trHeight w:val="76"/>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A3054"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D0D8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D26E6"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A0F2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2</w:t>
            </w:r>
            <w:r w:rsidRPr="004A1D98">
              <w:rPr>
                <w:rFonts w:ascii="Times New Roman" w:eastAsia="Times New Roman" w:hAnsi="Times New Roman" w:cs="Times New Roman"/>
                <w:color w:val="000000"/>
                <w:sz w:val="28"/>
                <w:szCs w:val="28"/>
                <w:lang w:val="lv-LV" w:eastAsia="ja-JP"/>
              </w:rPr>
              <w:t xml:space="preserve"> = 9</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3736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2</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001E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tc>
      </w:tr>
      <w:tr w:rsidR="000D67AB" w:rsidRPr="004A1D98" w14:paraId="76E51DBD" w14:textId="77777777" w:rsidTr="000A7815">
        <w:trPr>
          <w:trHeight w:val="76"/>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930415"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tc>
        <w:tc>
          <w:tcPr>
            <w:tcW w:w="12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07AF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Režīmu definīcijas vadlīnijās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A0756"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T = laiks, stundu skaits aktuālajā režīmā dienā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82B2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i/>
                <w:color w:val="000000"/>
                <w:sz w:val="28"/>
                <w:szCs w:val="28"/>
                <w:lang w:val="lv-LV" w:eastAsia="ja-JP"/>
              </w:rPr>
            </w:pPr>
            <w:r w:rsidRPr="004A1D98">
              <w:rPr>
                <w:rFonts w:ascii="Times New Roman" w:eastAsia="Times New Roman" w:hAnsi="Times New Roman" w:cs="Times New Roman"/>
                <w:i/>
                <w:color w:val="000000"/>
                <w:sz w:val="28"/>
                <w:szCs w:val="28"/>
                <w:lang w:val="lv-LV" w:eastAsia="ja-JP"/>
              </w:rPr>
              <w:t xml:space="preserve">Ieteiktais lietošanas scenārijs </w:t>
            </w:r>
          </w:p>
        </w:tc>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C9139"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P = jauda (kW). Jaudas mērījumi atbilstoši vadlīnijās norādītajam </w:t>
            </w:r>
          </w:p>
        </w:tc>
        <w:tc>
          <w:tcPr>
            <w:tcW w:w="16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BFC9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p>
        </w:tc>
      </w:tr>
    </w:tbl>
    <w:p w14:paraId="4EB2DE69"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p>
    <w:p w14:paraId="3F0B3AA3"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2. DATORTOMOGRĀFIJAS (DT) IEKĀRTAS ENERGOEFEKTIVITĀTE</w:t>
      </w:r>
    </w:p>
    <w:p w14:paraId="2CD5468C"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Papildu punktus piešķir atbilstoši enerģijas patēriņam dienā E (kWh)/dienā), sk. turpmāk (jo zemāks enerģijas patēriņš dienā, jo vairāk punktu piešķir).</w:t>
      </w:r>
    </w:p>
    <w:p w14:paraId="0D003FB4"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Pasūtītājam jānorāda iekārtas gaidāmie ikdienas lietošanas veidi ("pielāgotais scenārijs"), pretendentam jānorāda iekārtas patērētā jauda dažādos režīmos. Iepriekš noteiktais lietošanas scenārijs ir ieteikums pasūtītājam. Tomēr pasūtītājs var brīvi pielāgot lietošanas scenāriju īpašajām vajadzībām. </w:t>
      </w:r>
    </w:p>
    <w:p w14:paraId="5D98A3D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Iepriekš noteikts lietošanas scenārijs</w:t>
      </w:r>
      <w:r w:rsidRPr="004A1D98">
        <w:rPr>
          <w:rFonts w:ascii="Times New Roman" w:eastAsia="Times New Roman" w:hAnsi="Times New Roman" w:cs="Times New Roman"/>
          <w:color w:val="000000"/>
          <w:sz w:val="28"/>
          <w:szCs w:val="28"/>
          <w:lang w:val="lv-LV" w:eastAsia="lv-LV"/>
        </w:rPr>
        <w:t xml:space="preserve"> (</w:t>
      </w:r>
      <w:r w:rsidRPr="004A1D98">
        <w:rPr>
          <w:rFonts w:ascii="Times New Roman" w:eastAsia="Times New Roman" w:hAnsi="Times New Roman" w:cs="Times New Roman"/>
          <w:i/>
          <w:color w:val="000000"/>
          <w:sz w:val="28"/>
          <w:szCs w:val="28"/>
          <w:lang w:val="lv-LV" w:eastAsia="lv-LV"/>
        </w:rPr>
        <w:t>izmantojams kā atsauce, salīdzinot DT iekārtas</w:t>
      </w:r>
      <w:r w:rsidRPr="004A1D98">
        <w:rPr>
          <w:rFonts w:ascii="Times New Roman" w:eastAsia="Times New Roman" w:hAnsi="Times New Roman" w:cs="Times New Roman"/>
          <w:color w:val="000000"/>
          <w:sz w:val="28"/>
          <w:szCs w:val="28"/>
          <w:lang w:val="lv-LV" w:eastAsia="lv-LV"/>
        </w:rPr>
        <w:t xml:space="preserve">) </w:t>
      </w:r>
    </w:p>
    <w:p w14:paraId="43D386C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Pretendents norāda enerģijas patēriņu dienā, E (kWh)/dienā), vienam no 3 scenārijiem atbilstoši metodoloģijai un testa nosacījumiem, kas norādīti COCIR SRI datortomogrāfijas iekārtai, skatīt COCIR SRI tīmekļvietni, vai līdzvērtīgiem nosacījumiem. Pasūtītājs norāda, kuriem scenārijiem tiks sniegts enerģijas patēriņš. </w:t>
      </w:r>
    </w:p>
    <w:p w14:paraId="24E6D8F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2.1.Scenārijs "izslēgts": enerģijas patēriņš atbilstoši lietošanas scenārijam 20 skenēšanas procedūras dienā un 12 stundas izslēgtā režīmā pa nakti. </w:t>
      </w:r>
    </w:p>
    <w:p w14:paraId="471F211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2.2.Scenārijs "brīvgaitas": enerģijas patēriņš atbilstoši lietošanas scenārijam 20 skenēšanas procedūras dienā un 12 stundas brīvgaitas režīmā pa nakti. </w:t>
      </w:r>
    </w:p>
    <w:p w14:paraId="1044B47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2.3.Scenārijs "mazjaudas": enerģijas patēriņš atbilstoši lietošanas scenārijam 20 skenēšanas procedūras dienā un 12 stundas mazjaudas režīmā pa nakti. </w:t>
      </w:r>
    </w:p>
    <w:p w14:paraId="36CBF58C"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Pielāgots lietošanas scenārijs </w:t>
      </w:r>
    </w:p>
    <w:p w14:paraId="4997DE2A"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Pretendents norāda šādas vērtības atbilstoši metodoloģijai un testa nosacījumiem, kas norādīti COCIR SRI datortomogrāfijas iekārtai, skatīt COCIR SRI tīmekļvietni, vai līdzvērtīgiem nosacījumiem: </w:t>
      </w:r>
    </w:p>
    <w:p w14:paraId="6232D71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Off</w:t>
      </w:r>
      <w:r w:rsidRPr="004A1D98">
        <w:rPr>
          <w:rFonts w:ascii="Times New Roman" w:eastAsia="Times New Roman" w:hAnsi="Times New Roman" w:cs="Times New Roman"/>
          <w:color w:val="000000"/>
          <w:sz w:val="28"/>
          <w:szCs w:val="28"/>
          <w:lang w:val="lv-LV" w:eastAsia="ja-JP"/>
        </w:rPr>
        <w:t xml:space="preserve">: patērētā jauda (kW) izslēgtā režīmā </w:t>
      </w:r>
    </w:p>
    <w:p w14:paraId="53723B10"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Idle</w:t>
      </w:r>
      <w:r w:rsidRPr="004A1D98">
        <w:rPr>
          <w:rFonts w:ascii="Times New Roman" w:eastAsia="Times New Roman" w:hAnsi="Times New Roman" w:cs="Times New Roman"/>
          <w:color w:val="000000"/>
          <w:sz w:val="28"/>
          <w:szCs w:val="28"/>
          <w:lang w:val="lv-LV" w:eastAsia="ja-JP"/>
        </w:rPr>
        <w:t xml:space="preserve">: patērētā jauda (kW) brīvgaitas režīmā </w:t>
      </w:r>
    </w:p>
    <w:p w14:paraId="6050A70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Low</w:t>
      </w:r>
      <w:r w:rsidRPr="004A1D98">
        <w:rPr>
          <w:rFonts w:ascii="Times New Roman" w:eastAsia="Times New Roman" w:hAnsi="Times New Roman" w:cs="Times New Roman"/>
          <w:color w:val="000000"/>
          <w:sz w:val="28"/>
          <w:szCs w:val="28"/>
          <w:lang w:val="lv-LV" w:eastAsia="ja-JP"/>
        </w:rPr>
        <w:t xml:space="preserve">: patērētā jauda (kW) mazjaudas režīmā </w:t>
      </w:r>
    </w:p>
    <w:p w14:paraId="1123DB8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E</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enerģijas patēriņš vēderdobuma skenēšanas laikā </w:t>
      </w:r>
    </w:p>
    <w:p w14:paraId="27A9C82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vēderdobuma skenēšanas ilgums (no pieprasījuma brīža līdz jaudas pārslēgšanai atpakaļ brīvgaitas režīmā) </w:t>
      </w:r>
    </w:p>
    <w:p w14:paraId="3770282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Enerģijas patēriņu dienā var aprēķināt atbilstoši šādai formulai (vērtības </w:t>
      </w:r>
      <w:r w:rsidRPr="004A1D98">
        <w:rPr>
          <w:rFonts w:ascii="Times New Roman" w:eastAsia="Times New Roman" w:hAnsi="Times New Roman" w:cs="Times New Roman"/>
          <w:i/>
          <w:color w:val="000000"/>
          <w:sz w:val="28"/>
          <w:szCs w:val="28"/>
          <w:lang w:val="lv-LV" w:eastAsia="lv-LV"/>
        </w:rPr>
        <w:t>kursīvā</w:t>
      </w:r>
      <w:r w:rsidRPr="004A1D98">
        <w:rPr>
          <w:rFonts w:ascii="Times New Roman" w:eastAsia="Times New Roman" w:hAnsi="Times New Roman" w:cs="Times New Roman"/>
          <w:color w:val="000000"/>
          <w:sz w:val="28"/>
          <w:szCs w:val="28"/>
          <w:lang w:val="lv-LV" w:eastAsia="lv-LV"/>
        </w:rPr>
        <w:t xml:space="preserve"> nosaka pasūtītājs, treknrakstā — deklarē piegādātājs) </w:t>
      </w:r>
    </w:p>
    <w:p w14:paraId="64C2466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E=kWh/dienā = P</w:t>
      </w:r>
      <w:r w:rsidRPr="004A1D98">
        <w:rPr>
          <w:rFonts w:ascii="Times New Roman" w:eastAsia="Times New Roman" w:hAnsi="Times New Roman" w:cs="Times New Roman"/>
          <w:b/>
          <w:color w:val="000000"/>
          <w:sz w:val="28"/>
          <w:szCs w:val="28"/>
          <w:vertAlign w:val="subscript"/>
          <w:lang w:val="lv-LV" w:eastAsia="lv-LV"/>
        </w:rPr>
        <w:t>Off</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Off</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color w:val="000000"/>
          <w:sz w:val="28"/>
          <w:szCs w:val="28"/>
          <w:lang w:val="lv-LV" w:eastAsia="lv-LV"/>
        </w:rPr>
        <w:t xml:space="preserve"> P</w:t>
      </w:r>
      <w:r w:rsidRPr="004A1D98">
        <w:rPr>
          <w:rFonts w:ascii="Times New Roman" w:eastAsia="Times New Roman" w:hAnsi="Times New Roman" w:cs="Times New Roman"/>
          <w:b/>
          <w:color w:val="000000"/>
          <w:sz w:val="28"/>
          <w:szCs w:val="28"/>
          <w:vertAlign w:val="subscript"/>
          <w:lang w:val="lv-LV" w:eastAsia="lv-LV"/>
        </w:rPr>
        <w:t>Low</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Low</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 xml:space="preserve">+ </w:t>
      </w:r>
      <w:r w:rsidRPr="004A1D98">
        <w:rPr>
          <w:rFonts w:ascii="Times New Roman" w:eastAsia="Times New Roman" w:hAnsi="Times New Roman" w:cs="Times New Roman"/>
          <w:b/>
          <w:i/>
          <w:color w:val="000000"/>
          <w:sz w:val="28"/>
          <w:szCs w:val="28"/>
          <w:lang w:val="lv-LV" w:eastAsia="lv-LV"/>
        </w:rPr>
        <w:t>N</w:t>
      </w:r>
      <w:r w:rsidRPr="004A1D98">
        <w:rPr>
          <w:rFonts w:ascii="Times New Roman" w:eastAsia="Times New Roman" w:hAnsi="Times New Roman" w:cs="Times New Roman"/>
          <w:b/>
          <w:i/>
          <w:color w:val="000000"/>
          <w:sz w:val="28"/>
          <w:szCs w:val="28"/>
          <w:vertAlign w:val="subscript"/>
          <w:lang w:val="lv-LV" w:eastAsia="lv-LV"/>
        </w:rPr>
        <w:t>Scan</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color w:val="000000"/>
          <w:sz w:val="28"/>
          <w:szCs w:val="28"/>
          <w:lang w:val="lv-LV" w:eastAsia="lv-LV"/>
        </w:rPr>
        <w:t>E</w:t>
      </w:r>
      <w:r w:rsidRPr="004A1D98">
        <w:rPr>
          <w:rFonts w:ascii="Times New Roman" w:eastAsia="Times New Roman" w:hAnsi="Times New Roman" w:cs="Times New Roman"/>
          <w:b/>
          <w:color w:val="000000"/>
          <w:sz w:val="28"/>
          <w:szCs w:val="28"/>
          <w:vertAlign w:val="subscript"/>
          <w:lang w:val="lv-LV" w:eastAsia="lv-LV"/>
        </w:rPr>
        <w:t>Scan</w:t>
      </w:r>
      <w:r w:rsidRPr="004A1D98">
        <w:rPr>
          <w:rFonts w:ascii="Times New Roman" w:eastAsia="Times New Roman" w:hAnsi="Times New Roman" w:cs="Times New Roman"/>
          <w:b/>
          <w:color w:val="000000"/>
          <w:sz w:val="28"/>
          <w:szCs w:val="28"/>
          <w:lang w:val="lv-LV" w:eastAsia="lv-LV"/>
        </w:rPr>
        <w:t xml:space="preserve"> + P</w:t>
      </w:r>
      <w:r w:rsidRPr="004A1D98">
        <w:rPr>
          <w:rFonts w:ascii="Times New Roman" w:eastAsia="Times New Roman" w:hAnsi="Times New Roman" w:cs="Times New Roman"/>
          <w:b/>
          <w:color w:val="000000"/>
          <w:sz w:val="28"/>
          <w:szCs w:val="28"/>
          <w:vertAlign w:val="subscript"/>
          <w:lang w:val="lv-LV" w:eastAsia="lv-LV"/>
        </w:rPr>
        <w:t>Idle</w:t>
      </w:r>
      <w:r w:rsidRPr="004A1D98">
        <w:rPr>
          <w:rFonts w:ascii="Times New Roman" w:eastAsia="Times New Roman" w:hAnsi="Times New Roman" w:cs="Times New Roman"/>
          <w:b/>
          <w:color w:val="000000"/>
          <w:sz w:val="28"/>
          <w:szCs w:val="28"/>
          <w:lang w:val="lv-LV" w:eastAsia="lv-LV"/>
        </w:rPr>
        <w:t xml:space="preserve"> × </w:t>
      </w:r>
      <w:r w:rsidRPr="004A1D98">
        <w:rPr>
          <w:rFonts w:ascii="Times New Roman" w:eastAsia="Times New Roman" w:hAnsi="Times New Roman" w:cs="Times New Roman"/>
          <w:color w:val="000000"/>
          <w:sz w:val="28"/>
          <w:szCs w:val="28"/>
          <w:lang w:val="lv-LV" w:eastAsia="lv-LV"/>
        </w:rPr>
        <w:t>(24</w:t>
      </w:r>
      <w:r w:rsidRPr="004A1D98">
        <w:rPr>
          <w:rFonts w:ascii="Times New Roman" w:eastAsia="Times New Roman" w:hAnsi="Times New Roman" w:cs="Times New Roman"/>
          <w:b/>
          <w:color w:val="000000"/>
          <w:sz w:val="28"/>
          <w:szCs w:val="28"/>
          <w:lang w:val="lv-LV" w:eastAsia="lv-LV"/>
        </w:rPr>
        <w:t xml:space="preserve"> − </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Off</w:t>
      </w:r>
      <w:r w:rsidRPr="004A1D98">
        <w:rPr>
          <w:rFonts w:ascii="Times New Roman" w:eastAsia="MS Gothic" w:hAnsi="Times New Roman" w:cs="Times New Roman"/>
          <w:b/>
          <w:color w:val="000000"/>
          <w:sz w:val="28"/>
          <w:szCs w:val="28"/>
          <w:lang w:val="lv-LV" w:eastAsia="lv-LV"/>
        </w:rPr>
        <w:t xml:space="preserve"> −</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Low</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i/>
          <w:color w:val="000000"/>
          <w:sz w:val="28"/>
          <w:szCs w:val="28"/>
          <w:lang w:val="lv-LV" w:eastAsia="lv-LV"/>
        </w:rPr>
        <w:t>N</w:t>
      </w:r>
      <w:r w:rsidRPr="004A1D98">
        <w:rPr>
          <w:rFonts w:ascii="Times New Roman" w:eastAsia="Times New Roman" w:hAnsi="Times New Roman" w:cs="Times New Roman"/>
          <w:b/>
          <w:i/>
          <w:color w:val="000000"/>
          <w:sz w:val="28"/>
          <w:szCs w:val="28"/>
          <w:vertAlign w:val="subscript"/>
          <w:lang w:val="lv-LV" w:eastAsia="lv-LV"/>
        </w:rPr>
        <w:t>Scan</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color w:val="000000"/>
          <w:sz w:val="28"/>
          <w:szCs w:val="28"/>
          <w:lang w:val="lv-LV" w:eastAsia="lv-LV"/>
        </w:rPr>
        <w:t>T</w:t>
      </w:r>
      <w:r w:rsidRPr="004A1D98">
        <w:rPr>
          <w:rFonts w:ascii="Times New Roman" w:eastAsia="Times New Roman" w:hAnsi="Times New Roman" w:cs="Times New Roman"/>
          <w:b/>
          <w:color w:val="000000"/>
          <w:sz w:val="28"/>
          <w:szCs w:val="28"/>
          <w:vertAlign w:val="subscript"/>
          <w:lang w:val="lv-LV" w:eastAsia="lv-LV"/>
        </w:rPr>
        <w:t>Scan</w:t>
      </w:r>
      <w:r w:rsidRPr="004A1D98">
        <w:rPr>
          <w:rFonts w:ascii="Times New Roman" w:eastAsia="Times New Roman" w:hAnsi="Times New Roman" w:cs="Times New Roman"/>
          <w:color w:val="000000"/>
          <w:sz w:val="28"/>
          <w:szCs w:val="28"/>
          <w:lang w:val="lv-LV" w:eastAsia="lv-LV"/>
        </w:rPr>
        <w:t>),</w:t>
      </w:r>
    </w:p>
    <w:p w14:paraId="0C13A12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kur </w:t>
      </w:r>
    </w:p>
    <w:p w14:paraId="681A36C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N</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ir skenēšanas procedūru skaits dienā. </w:t>
      </w:r>
    </w:p>
    <w:p w14:paraId="50B523F3"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Ņemot vērā niecīgo ietekmi, kāda ir patērētajai enerģijai skenēšanas režīmā 24 stundu laikā, ar COCIR metodoloģiju iegūtie rezultāti apliecināja, ka enerģijas patēriņu skenēšanas režīmā var aptuveni aprēķināt, izmantojot tikai vēderdobuma skenēšanu. </w:t>
      </w:r>
    </w:p>
    <w:p w14:paraId="5030F41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 xml:space="preserve">Low, Off </w:t>
      </w:r>
      <w:r w:rsidRPr="004A1D98">
        <w:rPr>
          <w:rFonts w:ascii="Times New Roman" w:eastAsia="Times New Roman" w:hAnsi="Times New Roman" w:cs="Times New Roman"/>
          <w:color w:val="000000"/>
          <w:sz w:val="28"/>
          <w:szCs w:val="28"/>
          <w:lang w:val="lv-LV" w:eastAsia="ja-JP"/>
        </w:rPr>
        <w:t xml:space="preserve"> ir laiks stundās dienā katrā režīmā.</w:t>
      </w:r>
    </w:p>
    <w:p w14:paraId="01104BBB"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ir katras skenēšanas procedūras ilgums (norāda piegādātājs).</w:t>
      </w:r>
    </w:p>
    <w:p w14:paraId="6935FBB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 </w:t>
      </w:r>
    </w:p>
    <w:p w14:paraId="57062020"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3. HEMODIALĪZES IEKĀRTAS ENERGOEFEKTIVITĀTE </w:t>
      </w:r>
    </w:p>
    <w:p w14:paraId="210B5AF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Papildu punktus piešķir atbilstoši enerģijas patēriņam vienā procedūrā, E (kWh)/procedūrā, un turpmāk norādītajiem testa nosacījumiem (jo zemāks enerģijas patēriņš vienā procedūrā, jo vairāk punktu piešķir). </w:t>
      </w:r>
    </w:p>
    <w:p w14:paraId="4BADB2C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3.1.Procedūras cikls atbilst turpmāk norādītajam saskaņā ar piemērojamiem standartiem: </w:t>
      </w:r>
    </w:p>
    <w:p w14:paraId="61B0A8E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3.1.1.Tests – ilgums atkarīgs no mehānisma </w:t>
      </w:r>
    </w:p>
    <w:p w14:paraId="514D791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3.1.2.Uzpildīšana/skalošana – 10 minūtes </w:t>
      </w:r>
    </w:p>
    <w:p w14:paraId="242C58C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3.1.3.Posms pirms cirkulācijas – 15 minūtes </w:t>
      </w:r>
    </w:p>
    <w:p w14:paraId="5455AA5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3.1.4.Dialīze – 4 stundas </w:t>
      </w:r>
    </w:p>
    <w:p w14:paraId="7573ED3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3.1.5. Karsēšana/ ķīmiskā dezinfekcija – ilgums atkarīgs no mehānisma. </w:t>
      </w:r>
      <w:r w:rsidRPr="004A1D98">
        <w:rPr>
          <w:rFonts w:ascii="Times New Roman" w:eastAsia="Times New Roman" w:hAnsi="Times New Roman" w:cs="Times New Roman"/>
          <w:b/>
          <w:i/>
          <w:color w:val="000000"/>
          <w:sz w:val="28"/>
          <w:szCs w:val="28"/>
          <w:lang w:val="lv-LV" w:eastAsia="lv-LV"/>
        </w:rPr>
        <w:t xml:space="preserve">Dezinfekcijas veidu norāda pasūtītājs. </w:t>
      </w:r>
    </w:p>
    <w:p w14:paraId="7B5F7618"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Enerģijas patēriņu vienā procedūrā mēra atbilstoši vadlīnijās norādītajiem testa nosacījumiem. </w:t>
      </w:r>
    </w:p>
    <w:p w14:paraId="18427C52"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Punktus piešķir, ja dialīzes iekārta ir aprīkota ar automātisku funkciju, kas samazina dializāta plūsmu laikā no posma pirms cirkulācijas līdz dialīzes veikšanas posmam. Piegādātājs norāda samazināto dializāta plūsmu. Jo lielāks dializāta plūsmas samazinājums, jo vairāk punktu piešķir. </w:t>
      </w:r>
    </w:p>
    <w:p w14:paraId="49A8042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Punktus piešķir, ja dialīzes iekārta pati izslēdzas, ja tā netiek izmantota 10 minūšu laikā pēc dezinfekcijas veikšanas. </w:t>
      </w:r>
    </w:p>
    <w:p w14:paraId="4DB4D02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p w14:paraId="2CA2E6B3"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4. MAGNĒTISKĀS REZONANSES ATTĒLDIAGNOSTIKAS (MRI) IEKĀRTAS ENERGOEFEKTIVITĀTE</w:t>
      </w:r>
    </w:p>
    <w:p w14:paraId="00793C2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Papildu punktus piešķir atbilstoši enerģijas patēriņam dienā E (kWh)/dienā), sk. turpmāk (jo zemāks enerģijas patēriņš dienā, jo vairāk punktu piešķir). Režīmu definīcijas sniegtas vadlīnijās. </w:t>
      </w:r>
    </w:p>
    <w:p w14:paraId="4605061F"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Pasūtītājam jānorāda iekārtas gaidāmie ikdienas lietošanas veidi ("pielāgotais scenārijs"), piegādātājam jānorāda iekārtas enerģijas patēriņš dažādos režīmos. Iepriekš noteiktais lietošanas scenārijs ir ieteikums pasūtītājam. Tomēr pasūtītājs var brīvi pielāgot lietošanas scenāriju īpašajām vajadzībām. </w:t>
      </w:r>
    </w:p>
    <w:p w14:paraId="49C8B352"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Iepriekš noteikts lietošanas scenārijs</w:t>
      </w:r>
      <w:r w:rsidRPr="004A1D98">
        <w:rPr>
          <w:rFonts w:ascii="Times New Roman" w:eastAsia="Times New Roman" w:hAnsi="Times New Roman" w:cs="Times New Roman"/>
          <w:color w:val="000000"/>
          <w:sz w:val="28"/>
          <w:szCs w:val="28"/>
          <w:lang w:val="lv-LV" w:eastAsia="lv-LV"/>
        </w:rPr>
        <w:t xml:space="preserve"> (</w:t>
      </w:r>
      <w:r w:rsidRPr="004A1D98">
        <w:rPr>
          <w:rFonts w:ascii="Times New Roman" w:eastAsia="Times New Roman" w:hAnsi="Times New Roman" w:cs="Times New Roman"/>
          <w:i/>
          <w:color w:val="000000"/>
          <w:sz w:val="28"/>
          <w:szCs w:val="28"/>
          <w:lang w:val="lv-LV" w:eastAsia="lv-LV"/>
        </w:rPr>
        <w:t>izmantojams kā atsauce, salīdzinot MRI iekārtas</w:t>
      </w:r>
      <w:r w:rsidRPr="004A1D98">
        <w:rPr>
          <w:rFonts w:ascii="Times New Roman" w:eastAsia="Times New Roman" w:hAnsi="Times New Roman" w:cs="Times New Roman"/>
          <w:color w:val="000000"/>
          <w:sz w:val="28"/>
          <w:szCs w:val="28"/>
          <w:lang w:val="lv-LV" w:eastAsia="lv-LV"/>
        </w:rPr>
        <w:t xml:space="preserve">) </w:t>
      </w:r>
    </w:p>
    <w:p w14:paraId="339430D9"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Piegādātājs norāda enerģijas patēriņu dienā E (kWh)/dienā) atbilstoši metodoloģijai un testa nosacījumiem, kas norādīti COCIR SRI magnētiskās rezonanses attēldiagnostikas iekārtai, vai līdzvērtīgiem, skatīt COCIR SRI tīmekļvietni. </w:t>
      </w:r>
    </w:p>
    <w:p w14:paraId="5722C96D"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Pielāgots lietošanas scenārijs </w:t>
      </w:r>
    </w:p>
    <w:p w14:paraId="6C963735"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Piegādātājs norāda šādas vērtības atbilstoši metodoloģijai un testa nosacījumiem, kas norādīti COCIR SRI magnētiskās rezonanses attēldiagnostikas iekārtai, sk. COCIR SRI tīmekļvietni</w:t>
      </w:r>
      <w:r w:rsidRPr="004A1D98">
        <w:rPr>
          <w:rFonts w:ascii="Times New Roman" w:eastAsia="Times New Roman" w:hAnsi="Times New Roman" w:cs="Times New Roman"/>
          <w:color w:val="000000"/>
          <w:sz w:val="28"/>
          <w:szCs w:val="28"/>
          <w:lang w:val="lv-LV" w:eastAsia="lv-LV"/>
        </w:rPr>
        <w:fldChar w:fldCharType="begin"/>
      </w:r>
      <w:r w:rsidRPr="004A1D98">
        <w:rPr>
          <w:rFonts w:ascii="Times New Roman" w:eastAsia="Times New Roman" w:hAnsi="Times New Roman" w:cs="Times New Roman"/>
          <w:color w:val="000000"/>
          <w:sz w:val="28"/>
          <w:szCs w:val="28"/>
          <w:lang w:val="lv-LV" w:eastAsia="lv-LV"/>
        </w:rPr>
        <w:instrText xml:space="preserve"> HYPERLINK </w:instrText>
      </w:r>
      <w:r w:rsidRPr="004A1D98">
        <w:rPr>
          <w:rFonts w:ascii="Times New Roman" w:eastAsia="Times New Roman" w:hAnsi="Times New Roman" w:cs="Times New Roman"/>
          <w:color w:val="000000"/>
          <w:sz w:val="28"/>
          <w:szCs w:val="28"/>
          <w:lang w:val="lv-LV" w:eastAsia="lv-LV"/>
        </w:rPr>
        <w:fldChar w:fldCharType="separate"/>
      </w:r>
      <w:r w:rsidR="005B3497">
        <w:rPr>
          <w:rFonts w:ascii="Times New Roman" w:eastAsia="Times New Roman" w:hAnsi="Times New Roman" w:cs="Times New Roman"/>
          <w:b/>
          <w:bCs/>
          <w:color w:val="000000"/>
          <w:sz w:val="28"/>
          <w:szCs w:val="28"/>
          <w:lang w:eastAsia="lv-LV"/>
        </w:rPr>
        <w:t>Error! Hyperlink reference not vali</w:t>
      </w:r>
      <w:r w:rsidR="005B3497">
        <w:rPr>
          <w:rFonts w:ascii="Times New Roman" w:eastAsia="Times New Roman" w:hAnsi="Times New Roman" w:cs="Times New Roman"/>
          <w:b/>
          <w:bCs/>
          <w:color w:val="000000"/>
          <w:sz w:val="28"/>
          <w:szCs w:val="28"/>
          <w:lang w:eastAsia="lv-LV"/>
        </w:rPr>
        <w:t>d.</w:t>
      </w:r>
      <w:r w:rsidRPr="004A1D98">
        <w:rPr>
          <w:rFonts w:ascii="Times New Roman" w:eastAsia="Times New Roman" w:hAnsi="Times New Roman" w:cs="Times New Roman"/>
          <w:color w:val="000000"/>
          <w:sz w:val="28"/>
          <w:szCs w:val="28"/>
          <w:lang w:val="lv-LV" w:eastAsia="lv-LV"/>
        </w:rPr>
        <w:fldChar w:fldCharType="end"/>
      </w:r>
      <w:r w:rsidRPr="004A1D98">
        <w:rPr>
          <w:rFonts w:ascii="Times New Roman" w:eastAsia="Times New Roman" w:hAnsi="Times New Roman" w:cs="Times New Roman"/>
          <w:color w:val="000000"/>
          <w:sz w:val="28"/>
          <w:szCs w:val="28"/>
          <w:lang w:val="lv-LV" w:eastAsia="lv-LV"/>
        </w:rPr>
        <w:t xml:space="preserve">, vai līdzvērtīgiem nosacījumiem: </w:t>
      </w:r>
    </w:p>
    <w:p w14:paraId="59D0D99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Off</w:t>
      </w:r>
      <w:r w:rsidRPr="004A1D98">
        <w:rPr>
          <w:rFonts w:ascii="Times New Roman" w:eastAsia="Times New Roman" w:hAnsi="Times New Roman" w:cs="Times New Roman"/>
          <w:color w:val="000000"/>
          <w:sz w:val="28"/>
          <w:szCs w:val="28"/>
          <w:lang w:val="lv-LV" w:eastAsia="ja-JP"/>
        </w:rPr>
        <w:t xml:space="preserve">: patērētā jauda (kW) izslēgtā režīmā </w:t>
      </w:r>
    </w:p>
    <w:p w14:paraId="3C37B6D7"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Low</w:t>
      </w:r>
      <w:r w:rsidRPr="004A1D98">
        <w:rPr>
          <w:rFonts w:ascii="Times New Roman" w:eastAsia="Times New Roman" w:hAnsi="Times New Roman" w:cs="Times New Roman"/>
          <w:color w:val="000000"/>
          <w:sz w:val="28"/>
          <w:szCs w:val="28"/>
          <w:lang w:val="lv-LV" w:eastAsia="ja-JP"/>
        </w:rPr>
        <w:t xml:space="preserve">: patērētā jauda (kW) mazjaudas režīmā </w:t>
      </w:r>
    </w:p>
    <w:p w14:paraId="406E392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w:t>
      </w:r>
      <w:r w:rsidRPr="004A1D98">
        <w:rPr>
          <w:rFonts w:ascii="Times New Roman" w:eastAsia="Times New Roman" w:hAnsi="Times New Roman" w:cs="Times New Roman"/>
          <w:color w:val="000000"/>
          <w:sz w:val="28"/>
          <w:szCs w:val="28"/>
          <w:vertAlign w:val="subscript"/>
          <w:lang w:val="lv-LV" w:eastAsia="ja-JP"/>
        </w:rPr>
        <w:t>Ready</w:t>
      </w:r>
      <w:r w:rsidRPr="004A1D98">
        <w:rPr>
          <w:rFonts w:ascii="Times New Roman" w:eastAsia="Times New Roman" w:hAnsi="Times New Roman" w:cs="Times New Roman"/>
          <w:color w:val="000000"/>
          <w:sz w:val="28"/>
          <w:szCs w:val="28"/>
          <w:lang w:val="lv-LV" w:eastAsia="ja-JP"/>
        </w:rPr>
        <w:t xml:space="preserve">: patērētā jauda (kW) skenēšanas gatavības režīmā </w:t>
      </w:r>
    </w:p>
    <w:p w14:paraId="5F93B8AD"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E</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enerģijas patēriņš skenēšanas laikā 5 ķermeņa daļām (galva, mugurkauls, vēderdobums, celis, asinsvadi) </w:t>
      </w:r>
    </w:p>
    <w:p w14:paraId="4120BC6F"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skenēšanas ilgums (tostarp skenēšanas laika secība un fiksēts skenēšanas gatavības laiks, kas definēts COCIR metodoloģijā) </w:t>
      </w:r>
    </w:p>
    <w:p w14:paraId="1FE9C445"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Enerģijas patēriņu dienā var aprēķināt atbilstoši šādai formulai (vērtības </w:t>
      </w:r>
      <w:r w:rsidRPr="004A1D98">
        <w:rPr>
          <w:rFonts w:ascii="Times New Roman" w:eastAsia="Times New Roman" w:hAnsi="Times New Roman" w:cs="Times New Roman"/>
          <w:i/>
          <w:color w:val="000000"/>
          <w:sz w:val="28"/>
          <w:szCs w:val="28"/>
          <w:lang w:val="lv-LV" w:eastAsia="lv-LV"/>
        </w:rPr>
        <w:t>kursīvā</w:t>
      </w:r>
      <w:r w:rsidRPr="004A1D98">
        <w:rPr>
          <w:rFonts w:ascii="Times New Roman" w:eastAsia="Times New Roman" w:hAnsi="Times New Roman" w:cs="Times New Roman"/>
          <w:color w:val="000000"/>
          <w:sz w:val="28"/>
          <w:szCs w:val="28"/>
          <w:lang w:val="lv-LV" w:eastAsia="lv-LV"/>
        </w:rPr>
        <w:t xml:space="preserve"> nosaka pasūtītājs, </w:t>
      </w:r>
      <w:r w:rsidRPr="004A1D98">
        <w:rPr>
          <w:rFonts w:ascii="Times New Roman" w:eastAsia="Times New Roman" w:hAnsi="Times New Roman" w:cs="Times New Roman"/>
          <w:b/>
          <w:color w:val="000000"/>
          <w:sz w:val="28"/>
          <w:szCs w:val="28"/>
          <w:lang w:val="lv-LV" w:eastAsia="lv-LV"/>
        </w:rPr>
        <w:t>treknrakstā</w:t>
      </w:r>
      <w:r w:rsidRPr="004A1D98">
        <w:rPr>
          <w:rFonts w:ascii="Times New Roman" w:eastAsia="Times New Roman" w:hAnsi="Times New Roman" w:cs="Times New Roman"/>
          <w:color w:val="000000"/>
          <w:sz w:val="28"/>
          <w:szCs w:val="28"/>
          <w:lang w:val="lv-LV" w:eastAsia="lv-LV"/>
        </w:rPr>
        <w:t xml:space="preserve"> — deklarē piegādātājs) </w:t>
      </w:r>
    </w:p>
    <w:p w14:paraId="661B4BA7"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E=kWh/dienā = P</w:t>
      </w:r>
      <w:r w:rsidRPr="004A1D98">
        <w:rPr>
          <w:rFonts w:ascii="Times New Roman" w:eastAsia="Times New Roman" w:hAnsi="Times New Roman" w:cs="Times New Roman"/>
          <w:b/>
          <w:color w:val="000000"/>
          <w:sz w:val="28"/>
          <w:szCs w:val="28"/>
          <w:vertAlign w:val="subscript"/>
          <w:lang w:val="lv-LV" w:eastAsia="lv-LV"/>
        </w:rPr>
        <w:t>Off</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Off</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color w:val="000000"/>
          <w:sz w:val="28"/>
          <w:szCs w:val="28"/>
          <w:lang w:val="lv-LV" w:eastAsia="lv-LV"/>
        </w:rPr>
        <w:t xml:space="preserve"> P</w:t>
      </w:r>
      <w:r w:rsidRPr="004A1D98">
        <w:rPr>
          <w:rFonts w:ascii="Times New Roman" w:eastAsia="Times New Roman" w:hAnsi="Times New Roman" w:cs="Times New Roman"/>
          <w:b/>
          <w:color w:val="000000"/>
          <w:sz w:val="28"/>
          <w:szCs w:val="28"/>
          <w:vertAlign w:val="subscript"/>
          <w:lang w:val="lv-LV" w:eastAsia="lv-LV"/>
        </w:rPr>
        <w:t>Low</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Low</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 xml:space="preserve">+ </w:t>
      </w:r>
      <w:r w:rsidRPr="004A1D98">
        <w:rPr>
          <w:rFonts w:ascii="Times New Roman" w:eastAsia="Times New Roman" w:hAnsi="Times New Roman" w:cs="Times New Roman"/>
          <w:b/>
          <w:i/>
          <w:color w:val="000000"/>
          <w:sz w:val="28"/>
          <w:szCs w:val="28"/>
          <w:lang w:val="lv-LV" w:eastAsia="lv-LV"/>
        </w:rPr>
        <w:t>N</w:t>
      </w:r>
      <w:r w:rsidRPr="004A1D98">
        <w:rPr>
          <w:rFonts w:ascii="Times New Roman" w:eastAsia="Times New Roman" w:hAnsi="Times New Roman" w:cs="Times New Roman"/>
          <w:b/>
          <w:i/>
          <w:color w:val="000000"/>
          <w:sz w:val="28"/>
          <w:szCs w:val="28"/>
          <w:vertAlign w:val="subscript"/>
          <w:lang w:val="lv-LV" w:eastAsia="lv-LV"/>
        </w:rPr>
        <w:t>Scan</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color w:val="000000"/>
          <w:sz w:val="28"/>
          <w:szCs w:val="28"/>
          <w:lang w:val="lv-LV" w:eastAsia="lv-LV"/>
        </w:rPr>
        <w:t>E</w:t>
      </w:r>
      <w:r w:rsidRPr="004A1D98">
        <w:rPr>
          <w:rFonts w:ascii="Times New Roman" w:eastAsia="Times New Roman" w:hAnsi="Times New Roman" w:cs="Times New Roman"/>
          <w:b/>
          <w:color w:val="000000"/>
          <w:sz w:val="28"/>
          <w:szCs w:val="28"/>
          <w:vertAlign w:val="subscript"/>
          <w:lang w:val="lv-LV" w:eastAsia="lv-LV"/>
        </w:rPr>
        <w:t>Scan</w:t>
      </w:r>
      <w:r w:rsidRPr="004A1D98">
        <w:rPr>
          <w:rFonts w:ascii="Times New Roman" w:eastAsia="Times New Roman" w:hAnsi="Times New Roman" w:cs="Times New Roman"/>
          <w:b/>
          <w:color w:val="000000"/>
          <w:sz w:val="28"/>
          <w:szCs w:val="28"/>
          <w:lang w:val="lv-LV" w:eastAsia="lv-LV"/>
        </w:rPr>
        <w:t xml:space="preserve"> + P</w:t>
      </w:r>
      <w:r w:rsidRPr="004A1D98">
        <w:rPr>
          <w:rFonts w:ascii="Times New Roman" w:eastAsia="Times New Roman" w:hAnsi="Times New Roman" w:cs="Times New Roman"/>
          <w:b/>
          <w:color w:val="000000"/>
          <w:sz w:val="28"/>
          <w:szCs w:val="28"/>
          <w:vertAlign w:val="subscript"/>
          <w:lang w:val="lv-LV" w:eastAsia="lv-LV"/>
        </w:rPr>
        <w:t>Ready</w:t>
      </w:r>
      <w:r w:rsidRPr="004A1D98">
        <w:rPr>
          <w:rFonts w:ascii="Times New Roman" w:eastAsia="Times New Roman" w:hAnsi="Times New Roman" w:cs="Times New Roman"/>
          <w:b/>
          <w:color w:val="000000"/>
          <w:sz w:val="28"/>
          <w:szCs w:val="28"/>
          <w:lang w:val="lv-LV" w:eastAsia="lv-LV"/>
        </w:rPr>
        <w:t xml:space="preserve"> × </w:t>
      </w:r>
      <w:r w:rsidRPr="004A1D98">
        <w:rPr>
          <w:rFonts w:ascii="Times New Roman" w:eastAsia="Times New Roman" w:hAnsi="Times New Roman" w:cs="Times New Roman"/>
          <w:color w:val="000000"/>
          <w:sz w:val="28"/>
          <w:szCs w:val="28"/>
          <w:lang w:val="lv-LV" w:eastAsia="lv-LV"/>
        </w:rPr>
        <w:t>(24</w:t>
      </w:r>
      <w:r w:rsidRPr="004A1D98">
        <w:rPr>
          <w:rFonts w:ascii="Times New Roman" w:eastAsia="Times New Roman" w:hAnsi="Times New Roman" w:cs="Times New Roman"/>
          <w:b/>
          <w:color w:val="000000"/>
          <w:sz w:val="28"/>
          <w:szCs w:val="28"/>
          <w:lang w:val="lv-LV" w:eastAsia="lv-LV"/>
        </w:rPr>
        <w:t xml:space="preserve"> − </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Off</w:t>
      </w:r>
      <w:r w:rsidRPr="004A1D98">
        <w:rPr>
          <w:rFonts w:ascii="Times New Roman" w:eastAsia="MS Gothic" w:hAnsi="Times New Roman" w:cs="Times New Roman"/>
          <w:b/>
          <w:color w:val="000000"/>
          <w:sz w:val="28"/>
          <w:szCs w:val="28"/>
          <w:lang w:val="lv-LV" w:eastAsia="lv-LV"/>
        </w:rPr>
        <w:t xml:space="preserve"> −</w:t>
      </w:r>
      <w:r w:rsidRPr="004A1D98">
        <w:rPr>
          <w:rFonts w:ascii="Times New Roman" w:eastAsia="Times New Roman" w:hAnsi="Times New Roman" w:cs="Times New Roman"/>
          <w:b/>
          <w:i/>
          <w:color w:val="000000"/>
          <w:sz w:val="28"/>
          <w:szCs w:val="28"/>
          <w:lang w:val="lv-LV" w:eastAsia="lv-LV"/>
        </w:rPr>
        <w:t>T</w:t>
      </w:r>
      <w:r w:rsidRPr="004A1D98">
        <w:rPr>
          <w:rFonts w:ascii="Times New Roman" w:eastAsia="Times New Roman" w:hAnsi="Times New Roman" w:cs="Times New Roman"/>
          <w:b/>
          <w:i/>
          <w:color w:val="000000"/>
          <w:sz w:val="28"/>
          <w:szCs w:val="28"/>
          <w:vertAlign w:val="subscript"/>
          <w:lang w:val="lv-LV" w:eastAsia="lv-LV"/>
        </w:rPr>
        <w:t>Low</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Times New Roman" w:hAnsi="Times New Roman" w:cs="Times New Roman"/>
          <w:b/>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i/>
          <w:color w:val="000000"/>
          <w:sz w:val="28"/>
          <w:szCs w:val="28"/>
          <w:lang w:val="lv-LV" w:eastAsia="lv-LV"/>
        </w:rPr>
        <w:t>N</w:t>
      </w:r>
      <w:r w:rsidRPr="004A1D98">
        <w:rPr>
          <w:rFonts w:ascii="Times New Roman" w:eastAsia="Times New Roman" w:hAnsi="Times New Roman" w:cs="Times New Roman"/>
          <w:b/>
          <w:i/>
          <w:color w:val="000000"/>
          <w:sz w:val="28"/>
          <w:szCs w:val="28"/>
          <w:vertAlign w:val="subscript"/>
          <w:lang w:val="lv-LV" w:eastAsia="lv-LV"/>
        </w:rPr>
        <w:t>Scan</w:t>
      </w:r>
      <w:r w:rsidRPr="004A1D98">
        <w:rPr>
          <w:rFonts w:ascii="Times New Roman" w:eastAsia="Times New Roman" w:hAnsi="Times New Roman" w:cs="Times New Roman"/>
          <w:b/>
          <w:i/>
          <w:color w:val="000000"/>
          <w:sz w:val="28"/>
          <w:szCs w:val="28"/>
          <w:lang w:val="lv-LV" w:eastAsia="lv-LV"/>
        </w:rPr>
        <w:t xml:space="preserve"> </w:t>
      </w:r>
      <w:r w:rsidRPr="004A1D98">
        <w:rPr>
          <w:rFonts w:ascii="Times New Roman" w:eastAsia="MS Gothic" w:hAnsi="Times New Roman" w:cs="Times New Roman"/>
          <w:b/>
          <w:color w:val="000000"/>
          <w:sz w:val="28"/>
          <w:szCs w:val="28"/>
          <w:lang w:val="lv-LV" w:eastAsia="lv-LV"/>
        </w:rPr>
        <w:t>×</w:t>
      </w:r>
      <w:r w:rsidRPr="004A1D98">
        <w:rPr>
          <w:rFonts w:ascii="Times New Roman" w:eastAsia="Times New Roman" w:hAnsi="Times New Roman" w:cs="Times New Roman"/>
          <w:b/>
          <w:color w:val="000000"/>
          <w:sz w:val="28"/>
          <w:szCs w:val="28"/>
          <w:lang w:val="lv-LV" w:eastAsia="lv-LV"/>
        </w:rPr>
        <w:t>T</w:t>
      </w:r>
      <w:r w:rsidRPr="004A1D98">
        <w:rPr>
          <w:rFonts w:ascii="Times New Roman" w:eastAsia="Times New Roman" w:hAnsi="Times New Roman" w:cs="Times New Roman"/>
          <w:b/>
          <w:color w:val="000000"/>
          <w:sz w:val="28"/>
          <w:szCs w:val="28"/>
          <w:vertAlign w:val="subscript"/>
          <w:lang w:val="lv-LV" w:eastAsia="lv-LV"/>
        </w:rPr>
        <w:t>Scan</w:t>
      </w:r>
      <w:r w:rsidRPr="004A1D98">
        <w:rPr>
          <w:rFonts w:ascii="Times New Roman" w:eastAsia="Times New Roman" w:hAnsi="Times New Roman" w:cs="Times New Roman"/>
          <w:color w:val="000000"/>
          <w:sz w:val="28"/>
          <w:szCs w:val="28"/>
          <w:lang w:val="lv-LV" w:eastAsia="lv-LV"/>
        </w:rPr>
        <w:t>),</w:t>
      </w:r>
    </w:p>
    <w:p w14:paraId="4032358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kur</w:t>
      </w:r>
    </w:p>
    <w:p w14:paraId="613CA9E0"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N</w:t>
      </w:r>
      <w:r w:rsidRPr="004A1D98">
        <w:rPr>
          <w:rFonts w:ascii="Times New Roman" w:eastAsia="Times New Roman" w:hAnsi="Times New Roman" w:cs="Times New Roman"/>
          <w:color w:val="000000"/>
          <w:sz w:val="28"/>
          <w:szCs w:val="28"/>
          <w:vertAlign w:val="subscript"/>
          <w:lang w:val="lv-LV" w:eastAsia="ja-JP"/>
        </w:rPr>
        <w:t>Scan</w:t>
      </w:r>
      <w:r w:rsidRPr="004A1D98">
        <w:rPr>
          <w:rFonts w:ascii="Times New Roman" w:eastAsia="Times New Roman" w:hAnsi="Times New Roman" w:cs="Times New Roman"/>
          <w:color w:val="000000"/>
          <w:sz w:val="28"/>
          <w:szCs w:val="28"/>
          <w:lang w:val="lv-LV" w:eastAsia="ja-JP"/>
        </w:rPr>
        <w:t xml:space="preserve"> ir skenēšanas darbību skaits katrai ķermeņa daļai: </w:t>
      </w:r>
      <w:r w:rsidRPr="004A1D98">
        <w:rPr>
          <w:rFonts w:ascii="Times New Roman" w:eastAsia="Times New Roman" w:hAnsi="Times New Roman" w:cs="Times New Roman"/>
          <w:b/>
          <w:i/>
          <w:color w:val="000000"/>
          <w:sz w:val="28"/>
          <w:szCs w:val="28"/>
          <w:lang w:val="lv-LV" w:eastAsia="ja-JP"/>
        </w:rPr>
        <w:t>N</w:t>
      </w:r>
      <w:r w:rsidRPr="004A1D98">
        <w:rPr>
          <w:rFonts w:ascii="Times New Roman" w:eastAsia="Times New Roman" w:hAnsi="Times New Roman" w:cs="Times New Roman"/>
          <w:b/>
          <w:i/>
          <w:color w:val="000000"/>
          <w:sz w:val="28"/>
          <w:szCs w:val="28"/>
          <w:vertAlign w:val="subscript"/>
          <w:lang w:val="lv-LV" w:eastAsia="ja-JP"/>
        </w:rPr>
        <w:t>Scan</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MS Gothic" w:hAnsi="Times New Roman" w:cs="Times New Roman"/>
          <w:b/>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T</w:t>
      </w:r>
      <w:r w:rsidRPr="004A1D98">
        <w:rPr>
          <w:rFonts w:ascii="Times New Roman" w:eastAsia="Times New Roman" w:hAnsi="Times New Roman" w:cs="Times New Roman"/>
          <w:b/>
          <w:color w:val="000000"/>
          <w:sz w:val="28"/>
          <w:szCs w:val="28"/>
          <w:vertAlign w:val="subscript"/>
          <w:lang w:val="lv-LV" w:eastAsia="ja-JP"/>
        </w:rPr>
        <w:t xml:space="preserve">Scan </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Times New Roman" w:hAnsi="Times New Roman" w:cs="Times New Roman"/>
          <w:b/>
          <w:i/>
          <w:color w:val="000000"/>
          <w:sz w:val="28"/>
          <w:szCs w:val="28"/>
          <w:lang w:val="lv-LV" w:eastAsia="ja-JP"/>
        </w:rPr>
        <w:t>N</w:t>
      </w:r>
      <w:r w:rsidRPr="004A1D98">
        <w:rPr>
          <w:rFonts w:ascii="Times New Roman" w:eastAsia="Times New Roman" w:hAnsi="Times New Roman" w:cs="Times New Roman"/>
          <w:b/>
          <w:i/>
          <w:color w:val="000000"/>
          <w:sz w:val="28"/>
          <w:szCs w:val="28"/>
          <w:vertAlign w:val="subscript"/>
          <w:lang w:val="lv-LV" w:eastAsia="ja-JP"/>
        </w:rPr>
        <w:t>Head</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MS Gothic" w:hAnsi="Times New Roman" w:cs="Times New Roman"/>
          <w:b/>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T</w:t>
      </w:r>
      <w:r w:rsidRPr="004A1D98">
        <w:rPr>
          <w:rFonts w:ascii="Times New Roman" w:eastAsia="Times New Roman" w:hAnsi="Times New Roman" w:cs="Times New Roman"/>
          <w:b/>
          <w:color w:val="000000"/>
          <w:sz w:val="28"/>
          <w:szCs w:val="28"/>
          <w:vertAlign w:val="subscript"/>
          <w:lang w:val="lv-LV" w:eastAsia="ja-JP"/>
        </w:rPr>
        <w:t>Head</w:t>
      </w:r>
      <w:r w:rsidRPr="004A1D98">
        <w:rPr>
          <w:rFonts w:ascii="Times New Roman" w:eastAsia="Times New Roman" w:hAnsi="Times New Roman" w:cs="Times New Roman"/>
          <w:b/>
          <w:color w:val="000000"/>
          <w:sz w:val="28"/>
          <w:szCs w:val="28"/>
          <w:lang w:val="lv-LV" w:eastAsia="ja-JP"/>
        </w:rPr>
        <w:t xml:space="preserve"> + </w:t>
      </w:r>
      <w:r w:rsidRPr="004A1D98">
        <w:rPr>
          <w:rFonts w:ascii="Times New Roman" w:eastAsia="Times New Roman" w:hAnsi="Times New Roman" w:cs="Times New Roman"/>
          <w:b/>
          <w:i/>
          <w:color w:val="000000"/>
          <w:sz w:val="28"/>
          <w:szCs w:val="28"/>
          <w:lang w:val="lv-LV" w:eastAsia="ja-JP"/>
        </w:rPr>
        <w:t>N</w:t>
      </w:r>
      <w:r w:rsidRPr="004A1D98">
        <w:rPr>
          <w:rFonts w:ascii="Times New Roman" w:eastAsia="Times New Roman" w:hAnsi="Times New Roman" w:cs="Times New Roman"/>
          <w:b/>
          <w:i/>
          <w:color w:val="000000"/>
          <w:sz w:val="28"/>
          <w:szCs w:val="28"/>
          <w:vertAlign w:val="subscript"/>
          <w:lang w:val="lv-LV" w:eastAsia="ja-JP"/>
        </w:rPr>
        <w:t>Abdomen</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MS Gothic" w:hAnsi="Times New Roman" w:cs="Times New Roman"/>
          <w:b/>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T</w:t>
      </w:r>
      <w:r w:rsidRPr="004A1D98">
        <w:rPr>
          <w:rFonts w:ascii="Times New Roman" w:eastAsia="Times New Roman" w:hAnsi="Times New Roman" w:cs="Times New Roman"/>
          <w:b/>
          <w:color w:val="000000"/>
          <w:sz w:val="28"/>
          <w:szCs w:val="28"/>
          <w:vertAlign w:val="subscript"/>
          <w:lang w:val="lv-LV" w:eastAsia="ja-JP"/>
        </w:rPr>
        <w:t>abdomen</w:t>
      </w:r>
      <w:r w:rsidRPr="004A1D98">
        <w:rPr>
          <w:rFonts w:ascii="Times New Roman" w:eastAsia="Times New Roman" w:hAnsi="Times New Roman" w:cs="Times New Roman"/>
          <w:b/>
          <w:color w:val="000000"/>
          <w:sz w:val="28"/>
          <w:szCs w:val="28"/>
          <w:lang w:val="lv-LV" w:eastAsia="ja-JP"/>
        </w:rPr>
        <w:t xml:space="preserve"> + </w:t>
      </w:r>
      <w:r w:rsidRPr="004A1D98">
        <w:rPr>
          <w:rFonts w:ascii="Times New Roman" w:eastAsia="Times New Roman" w:hAnsi="Times New Roman" w:cs="Times New Roman"/>
          <w:b/>
          <w:i/>
          <w:color w:val="000000"/>
          <w:sz w:val="28"/>
          <w:szCs w:val="28"/>
          <w:lang w:val="lv-LV" w:eastAsia="ja-JP"/>
        </w:rPr>
        <w:t>N</w:t>
      </w:r>
      <w:r w:rsidRPr="004A1D98">
        <w:rPr>
          <w:rFonts w:ascii="Times New Roman" w:eastAsia="Times New Roman" w:hAnsi="Times New Roman" w:cs="Times New Roman"/>
          <w:b/>
          <w:i/>
          <w:color w:val="000000"/>
          <w:sz w:val="28"/>
          <w:szCs w:val="28"/>
          <w:vertAlign w:val="subscript"/>
          <w:lang w:val="lv-LV" w:eastAsia="ja-JP"/>
        </w:rPr>
        <w:t>Spine</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MS Gothic" w:hAnsi="Times New Roman" w:cs="Times New Roman"/>
          <w:b/>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T</w:t>
      </w:r>
      <w:r w:rsidRPr="004A1D98">
        <w:rPr>
          <w:rFonts w:ascii="Times New Roman" w:eastAsia="Times New Roman" w:hAnsi="Times New Roman" w:cs="Times New Roman"/>
          <w:b/>
          <w:color w:val="000000"/>
          <w:sz w:val="28"/>
          <w:szCs w:val="28"/>
          <w:vertAlign w:val="subscript"/>
          <w:lang w:val="lv-LV" w:eastAsia="ja-JP"/>
        </w:rPr>
        <w:t>Spine</w:t>
      </w:r>
      <w:r w:rsidRPr="004A1D98">
        <w:rPr>
          <w:rFonts w:ascii="Times New Roman" w:eastAsia="Times New Roman" w:hAnsi="Times New Roman" w:cs="Times New Roman"/>
          <w:b/>
          <w:color w:val="000000"/>
          <w:sz w:val="28"/>
          <w:szCs w:val="28"/>
          <w:lang w:val="lv-LV" w:eastAsia="ja-JP"/>
        </w:rPr>
        <w:t xml:space="preserve"> + </w:t>
      </w:r>
      <w:r w:rsidRPr="004A1D98">
        <w:rPr>
          <w:rFonts w:ascii="Times New Roman" w:eastAsia="Times New Roman" w:hAnsi="Times New Roman" w:cs="Times New Roman"/>
          <w:b/>
          <w:i/>
          <w:color w:val="000000"/>
          <w:sz w:val="28"/>
          <w:szCs w:val="28"/>
          <w:lang w:val="lv-LV" w:eastAsia="ja-JP"/>
        </w:rPr>
        <w:t>N</w:t>
      </w:r>
      <w:r w:rsidRPr="004A1D98">
        <w:rPr>
          <w:rFonts w:ascii="Times New Roman" w:eastAsia="Times New Roman" w:hAnsi="Times New Roman" w:cs="Times New Roman"/>
          <w:b/>
          <w:i/>
          <w:color w:val="000000"/>
          <w:sz w:val="28"/>
          <w:szCs w:val="28"/>
          <w:vertAlign w:val="subscript"/>
          <w:lang w:val="lv-LV" w:eastAsia="ja-JP"/>
        </w:rPr>
        <w:t>Knee</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MS Gothic" w:hAnsi="Times New Roman" w:cs="Times New Roman"/>
          <w:b/>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T</w:t>
      </w:r>
      <w:r w:rsidRPr="004A1D98">
        <w:rPr>
          <w:rFonts w:ascii="Times New Roman" w:eastAsia="Times New Roman" w:hAnsi="Times New Roman" w:cs="Times New Roman"/>
          <w:b/>
          <w:color w:val="000000"/>
          <w:sz w:val="28"/>
          <w:szCs w:val="28"/>
          <w:vertAlign w:val="subscript"/>
          <w:lang w:val="lv-LV" w:eastAsia="ja-JP"/>
        </w:rPr>
        <w:t>Knee</w:t>
      </w:r>
      <w:r w:rsidRPr="004A1D98">
        <w:rPr>
          <w:rFonts w:ascii="Times New Roman" w:eastAsia="Times New Roman" w:hAnsi="Times New Roman" w:cs="Times New Roman"/>
          <w:b/>
          <w:color w:val="000000"/>
          <w:sz w:val="28"/>
          <w:szCs w:val="28"/>
          <w:lang w:val="lv-LV" w:eastAsia="ja-JP"/>
        </w:rPr>
        <w:t xml:space="preserve"> + </w:t>
      </w:r>
      <w:r w:rsidRPr="004A1D98">
        <w:rPr>
          <w:rFonts w:ascii="Times New Roman" w:eastAsia="Times New Roman" w:hAnsi="Times New Roman" w:cs="Times New Roman"/>
          <w:b/>
          <w:i/>
          <w:color w:val="000000"/>
          <w:sz w:val="28"/>
          <w:szCs w:val="28"/>
          <w:lang w:val="lv-LV" w:eastAsia="ja-JP"/>
        </w:rPr>
        <w:t>N</w:t>
      </w:r>
      <w:r w:rsidRPr="004A1D98">
        <w:rPr>
          <w:rFonts w:ascii="Times New Roman" w:eastAsia="Times New Roman" w:hAnsi="Times New Roman" w:cs="Times New Roman"/>
          <w:b/>
          <w:i/>
          <w:color w:val="000000"/>
          <w:sz w:val="28"/>
          <w:szCs w:val="28"/>
          <w:vertAlign w:val="subscript"/>
          <w:lang w:val="lv-LV" w:eastAsia="ja-JP"/>
        </w:rPr>
        <w:t>Angio</w:t>
      </w:r>
      <w:r w:rsidRPr="004A1D98">
        <w:rPr>
          <w:rFonts w:ascii="Times New Roman" w:eastAsia="Times New Roman" w:hAnsi="Times New Roman" w:cs="Times New Roman"/>
          <w:b/>
          <w:color w:val="000000"/>
          <w:sz w:val="28"/>
          <w:szCs w:val="28"/>
          <w:lang w:val="lv-LV" w:eastAsia="ja-JP"/>
        </w:rPr>
        <w:t xml:space="preserve"> </w:t>
      </w:r>
      <w:r w:rsidRPr="004A1D98">
        <w:rPr>
          <w:rFonts w:ascii="Times New Roman" w:eastAsia="MS Gothic" w:hAnsi="Times New Roman" w:cs="Times New Roman"/>
          <w:b/>
          <w:color w:val="000000"/>
          <w:sz w:val="28"/>
          <w:szCs w:val="28"/>
          <w:lang w:val="lv-LV" w:eastAsia="ja-JP"/>
        </w:rPr>
        <w:t xml:space="preserve">× </w:t>
      </w:r>
      <w:r w:rsidRPr="004A1D98">
        <w:rPr>
          <w:rFonts w:ascii="Times New Roman" w:eastAsia="Times New Roman" w:hAnsi="Times New Roman" w:cs="Times New Roman"/>
          <w:b/>
          <w:color w:val="000000"/>
          <w:sz w:val="28"/>
          <w:szCs w:val="28"/>
          <w:lang w:val="lv-LV" w:eastAsia="ja-JP"/>
        </w:rPr>
        <w:t>T</w:t>
      </w:r>
      <w:r w:rsidRPr="004A1D98">
        <w:rPr>
          <w:rFonts w:ascii="Times New Roman" w:eastAsia="Times New Roman" w:hAnsi="Times New Roman" w:cs="Times New Roman"/>
          <w:b/>
          <w:color w:val="000000"/>
          <w:sz w:val="28"/>
          <w:szCs w:val="28"/>
          <w:vertAlign w:val="subscript"/>
          <w:lang w:val="lv-LV" w:eastAsia="ja-JP"/>
        </w:rPr>
        <w:t>Angio</w:t>
      </w:r>
    </w:p>
    <w:p w14:paraId="6F4DDFCC"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Low, Off</w:t>
      </w:r>
      <w:r w:rsidRPr="004A1D98">
        <w:rPr>
          <w:rFonts w:ascii="Times New Roman" w:eastAsia="Times New Roman" w:hAnsi="Times New Roman" w:cs="Times New Roman"/>
          <w:color w:val="000000"/>
          <w:sz w:val="28"/>
          <w:szCs w:val="28"/>
          <w:lang w:val="lv-LV" w:eastAsia="ja-JP"/>
        </w:rPr>
        <w:t xml:space="preserve"> ir laiks stundās dienā katrā režīmā.</w:t>
      </w:r>
    </w:p>
    <w:p w14:paraId="198F84C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w:t>
      </w:r>
      <w:r w:rsidRPr="004A1D98">
        <w:rPr>
          <w:rFonts w:ascii="Times New Roman" w:eastAsia="Times New Roman" w:hAnsi="Times New Roman" w:cs="Times New Roman"/>
          <w:color w:val="000000"/>
          <w:sz w:val="28"/>
          <w:szCs w:val="28"/>
          <w:vertAlign w:val="subscript"/>
          <w:lang w:val="lv-LV" w:eastAsia="ja-JP"/>
        </w:rPr>
        <w:t xml:space="preserve">Scan </w:t>
      </w:r>
      <w:r w:rsidRPr="004A1D98">
        <w:rPr>
          <w:rFonts w:ascii="Times New Roman" w:eastAsia="Times New Roman" w:hAnsi="Times New Roman" w:cs="Times New Roman"/>
          <w:color w:val="000000"/>
          <w:sz w:val="28"/>
          <w:szCs w:val="28"/>
          <w:lang w:val="lv-LV" w:eastAsia="ja-JP"/>
        </w:rPr>
        <w:t xml:space="preserve">ir katras skenēšanas procedūras ilgums (norāda piegādātājs). </w:t>
      </w:r>
    </w:p>
    <w:p w14:paraId="31E4AC77"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p>
    <w:p w14:paraId="2CB92E98"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5. MEDICĪNISKO AUTOKLĀVU ENERGOEFEKTIVITĀTE </w:t>
      </w:r>
    </w:p>
    <w:p w14:paraId="573D3D22"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Iepriekš noteikts lietošanas scenārijs </w:t>
      </w:r>
    </w:p>
    <w:p w14:paraId="635F18D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Gan autoklāva jauda, gan slodze ietekmē energoefektivitāti atkarībā no pieejamās jaudas izmantošanas. Jo vairāk priekšmetu ir autoklāvā vienā ciklā, jo mazāks ir enerģijas patēriņš uz vienu priekšmetu. Autoklāvu enerģijas patēriņu var novērtēt vai nu, pamatojoties uz kameras izmantojamo tilpumu litros, vai uz maksimālo slogotspēju kilogramos. Piegādātājs norāda abu kritēriju rādītājus, lai sniegtu pasūtītājam vispārēju priekšstatu par enerģijas patēriņu. </w:t>
      </w:r>
    </w:p>
    <w:p w14:paraId="5249DC7B"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5.1.Papildu punktus piešķir saskaņā ar enerģijas patēriņu vienā ciklā, t. i.: </w:t>
      </w:r>
    </w:p>
    <w:p w14:paraId="769C40BC"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5.1.1.cik zems ir norādītais enerģijas patēriņš uz vienu litru, EV (Wh/l), saskaņā ar vadlīnijās norādītajiem testa nosacījumiem; </w:t>
      </w:r>
    </w:p>
    <w:p w14:paraId="636C554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5.1.2.cik zems ir norādītais enerģijas patēriņš uz vienu noslodzi, EW (Wh/kg), saskaņā ar vadlīnijās norādītajiem testa nosacījumiem; </w:t>
      </w:r>
    </w:p>
    <w:p w14:paraId="4E102456" w14:textId="77777777" w:rsidR="000D67AB" w:rsidRPr="004A1D98" w:rsidRDefault="000D67AB" w:rsidP="005D60E6">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Jo zemāks enerģijas patēriņš vienā ciklā, jo vairāk punktu piešķir. </w:t>
      </w:r>
    </w:p>
    <w:p w14:paraId="5C4EE323" w14:textId="77777777" w:rsidR="000D67AB" w:rsidRPr="004A1D98" w:rsidRDefault="000D67AB" w:rsidP="005D60E6">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5.2.Piegādātājs norāda: </w:t>
      </w:r>
    </w:p>
    <w:p w14:paraId="596CA522"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5.2.1 enerģijas patēriņu:</w:t>
      </w:r>
      <w:r w:rsidRPr="004A1D98">
        <w:rPr>
          <w:rFonts w:ascii="Times New Roman" w:eastAsia="Times New Roman" w:hAnsi="Times New Roman" w:cs="Times New Roman"/>
          <w:color w:val="000000"/>
          <w:sz w:val="28"/>
          <w:szCs w:val="28"/>
          <w:lang w:val="lv-LV" w:eastAsia="lv-LV"/>
        </w:rPr>
        <w:br/>
        <w:t>5.2.2. EV tukšai kamerai;</w:t>
      </w:r>
      <w:r w:rsidRPr="004A1D98">
        <w:rPr>
          <w:rFonts w:ascii="Times New Roman" w:eastAsia="Times New Roman" w:hAnsi="Times New Roman" w:cs="Times New Roman"/>
          <w:color w:val="000000"/>
          <w:sz w:val="28"/>
          <w:szCs w:val="28"/>
          <w:lang w:val="lv-LV" w:eastAsia="lv-LV"/>
        </w:rPr>
        <w:br/>
        <w:t xml:space="preserve">5.2.3 EW maksimālajai noslodzei, kā norādīts vadlīnijās; </w:t>
      </w:r>
    </w:p>
    <w:p w14:paraId="3807E703"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5.2.4. kameras izmantojamo tilpumu (litros); </w:t>
      </w:r>
    </w:p>
    <w:p w14:paraId="223639E1"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5.2.5. piemēroto ražojuma piemērojamos standartus.</w:t>
      </w:r>
    </w:p>
    <w:p w14:paraId="155733C6"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Pielāgots lietošanas scenārijs</w:t>
      </w:r>
    </w:p>
    <w:p w14:paraId="4D69EDE6"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Papildu punktus piešķir atbilstoši enerģijas patēriņam dienā E (kWh)/dienā), sk. turpmāk norādīto tabulu (jo  zemāks enerģijas patēriņš dienā, jo vairāk punktu piešķir). Lūdzu, aizpildiet šo tabulu. Režīmu definīcijas un verifikācijas apraksts sniegts vadlīnijās. </w:t>
      </w:r>
    </w:p>
    <w:tbl>
      <w:tblPr>
        <w:tblW w:w="7894" w:type="dxa"/>
        <w:tblCellMar>
          <w:left w:w="10" w:type="dxa"/>
          <w:right w:w="10" w:type="dxa"/>
        </w:tblCellMar>
        <w:tblLook w:val="04A0" w:firstRow="1" w:lastRow="0" w:firstColumn="1" w:lastColumn="0" w:noHBand="0" w:noVBand="1"/>
      </w:tblPr>
      <w:tblGrid>
        <w:gridCol w:w="1921"/>
        <w:gridCol w:w="2052"/>
        <w:gridCol w:w="2008"/>
        <w:gridCol w:w="1913"/>
      </w:tblGrid>
      <w:tr w:rsidR="000D67AB" w:rsidRPr="004A1D98" w14:paraId="167A8F9F" w14:textId="77777777" w:rsidTr="000A7815">
        <w:tc>
          <w:tcPr>
            <w:tcW w:w="192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D86885" w14:textId="77777777" w:rsidR="000D67AB" w:rsidRPr="004A1D98" w:rsidRDefault="000D67AB" w:rsidP="00426910">
            <w:pPr>
              <w:shd w:val="clear" w:color="auto" w:fill="D8D8D8"/>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Iekārta</w:t>
            </w:r>
          </w:p>
        </w:tc>
        <w:tc>
          <w:tcPr>
            <w:tcW w:w="20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2E9999" w14:textId="77777777" w:rsidR="000D67AB" w:rsidRPr="004A1D98" w:rsidRDefault="000D67AB" w:rsidP="00426910">
            <w:pPr>
              <w:shd w:val="clear" w:color="auto" w:fill="D8D8D8"/>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Režīms</w:t>
            </w:r>
          </w:p>
        </w:tc>
        <w:tc>
          <w:tcPr>
            <w:tcW w:w="20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C74FFC" w14:textId="77777777" w:rsidR="000D67AB" w:rsidRPr="004A1D98" w:rsidRDefault="000D67AB" w:rsidP="00426910">
            <w:pPr>
              <w:shd w:val="clear" w:color="auto" w:fill="D8D8D8"/>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Pielāgots lietošanas scenārijs</w:t>
            </w:r>
          </w:p>
          <w:p w14:paraId="47544260" w14:textId="77777777" w:rsidR="000D67AB" w:rsidRPr="004A1D98" w:rsidRDefault="000D67AB" w:rsidP="00426910">
            <w:pPr>
              <w:shd w:val="clear" w:color="auto" w:fill="D8D8D8"/>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Norāda pasūtītājs</w:t>
            </w:r>
          </w:p>
        </w:tc>
        <w:tc>
          <w:tcPr>
            <w:tcW w:w="19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6832FD3" w14:textId="77777777" w:rsidR="000D67AB" w:rsidRPr="004A1D98" w:rsidRDefault="000D67AB" w:rsidP="00426910">
            <w:pPr>
              <w:shd w:val="clear" w:color="auto" w:fill="D8D8D8"/>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Enerģija lietošanas posmā</w:t>
            </w:r>
          </w:p>
          <w:p w14:paraId="71CE680C" w14:textId="77777777" w:rsidR="000D67AB" w:rsidRPr="004A1D98" w:rsidRDefault="000D67AB" w:rsidP="00426910">
            <w:pPr>
              <w:shd w:val="clear" w:color="auto" w:fill="D8D8D8"/>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Norāda piegādātājs</w:t>
            </w:r>
          </w:p>
        </w:tc>
      </w:tr>
      <w:tr w:rsidR="000D67AB" w:rsidRPr="004A1D98" w14:paraId="2B5CDDB0" w14:textId="77777777" w:rsidTr="000A7815">
        <w:trPr>
          <w:trHeight w:val="84"/>
        </w:trPr>
        <w:tc>
          <w:tcPr>
            <w:tcW w:w="19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7297"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 xml:space="preserve">Medicīniskais autoklāvs </w:t>
            </w: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D1506"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Aktīvs</w:t>
            </w: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C5EEC"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N</w:t>
            </w:r>
            <w:r w:rsidRPr="004A1D98">
              <w:rPr>
                <w:rFonts w:ascii="Times New Roman" w:eastAsia="Times New Roman" w:hAnsi="Times New Roman" w:cs="Times New Roman"/>
                <w:color w:val="000000"/>
                <w:sz w:val="28"/>
                <w:szCs w:val="28"/>
                <w:lang w:val="lv-LV" w:eastAsia="ja-JP"/>
              </w:rPr>
              <w:t xml:space="preserve"> = norādītais ciklu skaits dienā (precizēt: </w:t>
            </w:r>
          </w:p>
          <w:p w14:paraId="7402521B"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L = noslodze ciklā (kg), </w:t>
            </w:r>
          </w:p>
          <w:p w14:paraId="1814D5DD"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 = materiāla veids (metāls vai tekstils), </w:t>
            </w:r>
          </w:p>
          <w:p w14:paraId="725D4318"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T = cikla veids (sterilizēšanas t</w:t>
            </w:r>
            <w:r w:rsidRPr="004A1D98">
              <w:rPr>
                <w:rFonts w:ascii="Times New Roman" w:eastAsia="Times New Roman" w:hAnsi="Times New Roman" w:cs="Times New Roman"/>
                <w:color w:val="000000"/>
                <w:sz w:val="28"/>
                <w:szCs w:val="28"/>
                <w:vertAlign w:val="superscript"/>
                <w:lang w:val="lv-LV" w:eastAsia="ja-JP"/>
              </w:rPr>
              <w:t>0</w:t>
            </w:r>
            <w:r w:rsidRPr="004A1D98">
              <w:rPr>
                <w:rFonts w:ascii="Times New Roman" w:eastAsia="Times New Roman" w:hAnsi="Times New Roman" w:cs="Times New Roman"/>
                <w:color w:val="000000"/>
                <w:sz w:val="28"/>
                <w:szCs w:val="28"/>
                <w:lang w:val="lv-LV" w:eastAsia="ja-JP"/>
              </w:rPr>
              <w:t xml:space="preserve"> ), izmantots žāvēšanas cikls (jā/nē)) </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3D851"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E</w:t>
            </w:r>
            <w:r w:rsidRPr="004A1D98">
              <w:rPr>
                <w:rFonts w:ascii="Times New Roman" w:eastAsia="Times New Roman" w:hAnsi="Times New Roman" w:cs="Times New Roman"/>
                <w:b/>
                <w:color w:val="000000"/>
                <w:sz w:val="28"/>
                <w:szCs w:val="28"/>
                <w:vertAlign w:val="subscript"/>
                <w:lang w:val="lv-LV" w:eastAsia="lv-LV"/>
              </w:rPr>
              <w:t>1</w:t>
            </w:r>
            <w:r w:rsidRPr="004A1D98">
              <w:rPr>
                <w:rFonts w:ascii="Times New Roman" w:eastAsia="Times New Roman" w:hAnsi="Times New Roman" w:cs="Times New Roman"/>
                <w:color w:val="000000"/>
                <w:sz w:val="28"/>
                <w:szCs w:val="28"/>
                <w:lang w:val="lv-LV" w:eastAsia="lv-LV"/>
              </w:rPr>
              <w:t xml:space="preserve"> = enerģijas patēriņš (kWh) vienā ciklā, pamatojoties uz pasūtītāja norādīto noteikto ciklu </w:t>
            </w:r>
          </w:p>
          <w:p w14:paraId="05EE8B26"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sz w:val="28"/>
                <w:szCs w:val="28"/>
                <w:lang w:val="lv-LV"/>
              </w:rPr>
            </w:pPr>
          </w:p>
        </w:tc>
      </w:tr>
      <w:tr w:rsidR="000D67AB" w:rsidRPr="004A1D98" w14:paraId="47C92BE5" w14:textId="77777777" w:rsidTr="000A7815">
        <w:trPr>
          <w:trHeight w:val="83"/>
        </w:trPr>
        <w:tc>
          <w:tcPr>
            <w:tcW w:w="19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17B36"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08B07"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Gatavības režīms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5F2A"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sz w:val="28"/>
                <w:szCs w:val="28"/>
                <w:lang w:val="lv-LV"/>
              </w:rPr>
            </w:pPr>
            <w:r w:rsidRPr="004A1D98">
              <w:rPr>
                <w:rFonts w:ascii="Times New Roman" w:eastAsia="Times New Roman" w:hAnsi="Times New Roman" w:cs="Times New Roman"/>
                <w:b/>
                <w:bCs/>
                <w:color w:val="000000"/>
                <w:sz w:val="28"/>
                <w:szCs w:val="28"/>
                <w:lang w:val="lv-LV"/>
              </w:rPr>
              <w:t>T</w:t>
            </w:r>
            <w:r w:rsidRPr="004A1D98">
              <w:rPr>
                <w:rFonts w:ascii="Times New Roman" w:eastAsia="Times New Roman" w:hAnsi="Times New Roman" w:cs="Times New Roman"/>
                <w:b/>
                <w:bCs/>
                <w:color w:val="000000"/>
                <w:sz w:val="28"/>
                <w:szCs w:val="28"/>
                <w:vertAlign w:val="subscript"/>
                <w:lang w:val="lv-LV"/>
              </w:rPr>
              <w:t>2</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9D03"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sz w:val="28"/>
                <w:szCs w:val="28"/>
                <w:lang w:val="lv-LV"/>
              </w:rPr>
            </w:pPr>
            <w:r w:rsidRPr="004A1D98">
              <w:rPr>
                <w:rFonts w:ascii="Times New Roman" w:eastAsia="Times New Roman" w:hAnsi="Times New Roman" w:cs="Times New Roman"/>
                <w:b/>
                <w:bCs/>
                <w:color w:val="000000"/>
                <w:sz w:val="28"/>
                <w:szCs w:val="28"/>
                <w:lang w:val="lv-LV"/>
              </w:rPr>
              <w:t>P</w:t>
            </w:r>
            <w:r w:rsidRPr="004A1D98">
              <w:rPr>
                <w:rFonts w:ascii="Times New Roman" w:eastAsia="Times New Roman" w:hAnsi="Times New Roman" w:cs="Times New Roman"/>
                <w:b/>
                <w:bCs/>
                <w:color w:val="000000"/>
                <w:sz w:val="28"/>
                <w:szCs w:val="28"/>
                <w:vertAlign w:val="subscript"/>
                <w:lang w:val="lv-LV"/>
              </w:rPr>
              <w:t>2</w:t>
            </w:r>
          </w:p>
        </w:tc>
      </w:tr>
      <w:tr w:rsidR="000D67AB" w:rsidRPr="004A1D98" w14:paraId="5B898BB2" w14:textId="77777777" w:rsidTr="000A7815">
        <w:trPr>
          <w:trHeight w:val="83"/>
        </w:trPr>
        <w:tc>
          <w:tcPr>
            <w:tcW w:w="19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5C5B0"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DAE1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Gaidstāve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177F"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sz w:val="28"/>
                <w:szCs w:val="28"/>
                <w:lang w:val="lv-LV"/>
              </w:rPr>
            </w:pPr>
            <w:r w:rsidRPr="004A1D98">
              <w:rPr>
                <w:rFonts w:ascii="Times New Roman" w:eastAsia="Times New Roman" w:hAnsi="Times New Roman" w:cs="Times New Roman"/>
                <w:b/>
                <w:bCs/>
                <w:color w:val="000000"/>
                <w:sz w:val="28"/>
                <w:szCs w:val="28"/>
                <w:lang w:val="lv-LV"/>
              </w:rPr>
              <w:t>T</w:t>
            </w:r>
            <w:r w:rsidRPr="004A1D98">
              <w:rPr>
                <w:rFonts w:ascii="Times New Roman" w:eastAsia="Times New Roman" w:hAnsi="Times New Roman" w:cs="Times New Roman"/>
                <w:b/>
                <w:bCs/>
                <w:color w:val="000000"/>
                <w:sz w:val="28"/>
                <w:szCs w:val="28"/>
                <w:vertAlign w:val="subscript"/>
                <w:lang w:val="lv-LV"/>
              </w:rPr>
              <w:t>3</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E4212" w14:textId="77777777" w:rsidR="000D67AB" w:rsidRPr="004A1D98" w:rsidRDefault="000D67AB" w:rsidP="00426910">
            <w:pPr>
              <w:keepNext/>
              <w:keepLines/>
              <w:suppressAutoHyphens/>
              <w:autoSpaceDN w:val="0"/>
              <w:spacing w:before="120" w:after="120" w:line="240" w:lineRule="auto"/>
              <w:textAlignment w:val="baseline"/>
              <w:outlineLvl w:val="1"/>
              <w:rPr>
                <w:rFonts w:ascii="Times New Roman" w:eastAsia="Times New Roman" w:hAnsi="Times New Roman" w:cs="Times New Roman"/>
                <w:b/>
                <w:bCs/>
                <w:color w:val="000000"/>
                <w:sz w:val="28"/>
                <w:szCs w:val="28"/>
                <w:lang w:val="lv-LV"/>
              </w:rPr>
            </w:pPr>
            <w:r w:rsidRPr="004A1D98">
              <w:rPr>
                <w:rFonts w:ascii="Times New Roman" w:eastAsia="Times New Roman" w:hAnsi="Times New Roman" w:cs="Times New Roman"/>
                <w:b/>
                <w:bCs/>
                <w:color w:val="000000"/>
                <w:sz w:val="28"/>
                <w:szCs w:val="28"/>
                <w:lang w:val="lv-LV"/>
              </w:rPr>
              <w:t>P</w:t>
            </w:r>
            <w:r w:rsidRPr="004A1D98">
              <w:rPr>
                <w:rFonts w:ascii="Times New Roman" w:eastAsia="Times New Roman" w:hAnsi="Times New Roman" w:cs="Times New Roman"/>
                <w:b/>
                <w:bCs/>
                <w:color w:val="000000"/>
                <w:sz w:val="28"/>
                <w:szCs w:val="28"/>
                <w:vertAlign w:val="subscript"/>
                <w:lang w:val="lv-LV"/>
              </w:rPr>
              <w:t>3</w:t>
            </w:r>
          </w:p>
        </w:tc>
      </w:tr>
      <w:tr w:rsidR="000D67AB" w:rsidRPr="004A1D98" w14:paraId="25AA0709" w14:textId="77777777" w:rsidTr="000A7815">
        <w:trPr>
          <w:trHeight w:val="83"/>
        </w:trPr>
        <w:tc>
          <w:tcPr>
            <w:tcW w:w="19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11FBA" w14:textId="77777777" w:rsidR="000D67AB" w:rsidRPr="004A1D98" w:rsidRDefault="000D67AB" w:rsidP="00426910">
            <w:pPr>
              <w:spacing w:before="120" w:after="120" w:line="240" w:lineRule="auto"/>
              <w:rPr>
                <w:rFonts w:ascii="Times New Roman" w:eastAsia="Times New Roman" w:hAnsi="Times New Roman" w:cs="Times New Roman"/>
                <w:b/>
                <w:color w:val="000000"/>
                <w:sz w:val="28"/>
                <w:szCs w:val="28"/>
                <w:lang w:val="lv-LV" w:eastAsia="lv-LV"/>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B0A45"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Režīmu definīcijas vadlīnijās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5E1E4"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T = laiks, stundu skaits aktuālajā režīmā dienā </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7C62A" w14:textId="77777777" w:rsidR="000D67AB" w:rsidRPr="004A1D98" w:rsidRDefault="000D67AB" w:rsidP="00426910">
            <w:pPr>
              <w:spacing w:before="120" w:after="120" w:line="240" w:lineRule="auto"/>
              <w:rPr>
                <w:rFonts w:ascii="Times New Roman" w:eastAsia="Times New Roman" w:hAnsi="Times New Roman" w:cs="Times New Roman"/>
                <w:i/>
                <w:color w:val="000000"/>
                <w:sz w:val="28"/>
                <w:szCs w:val="28"/>
                <w:lang w:val="lv-LV" w:eastAsia="lv-LV"/>
              </w:rPr>
            </w:pPr>
            <w:r w:rsidRPr="004A1D98">
              <w:rPr>
                <w:rFonts w:ascii="Times New Roman" w:eastAsia="Times New Roman" w:hAnsi="Times New Roman" w:cs="Times New Roman"/>
                <w:i/>
                <w:color w:val="000000"/>
                <w:sz w:val="28"/>
                <w:szCs w:val="28"/>
                <w:lang w:val="lv-LV" w:eastAsia="lv-LV"/>
              </w:rPr>
              <w:t xml:space="preserve">P = jauda (kW), jaudas un enerģijas patēriņa mērījumi atbilstoši vadlīnijās  norādītajiem testa nosacījumiem </w:t>
            </w:r>
          </w:p>
        </w:tc>
      </w:tr>
    </w:tbl>
    <w:p w14:paraId="06DCAC94"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p>
    <w:p w14:paraId="5AD5681B"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6. SKALOŠANAS–DEZINFEKCIJAS UN MAZGĀŠANAS–DEZINFEKCIJAS IEKĀRTAS ENERGOEFEKTIVITĀTE </w:t>
      </w:r>
    </w:p>
    <w:p w14:paraId="4807B27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atbilstoši enerģijas patēriņam vienā ciklā E (kWh)/ciklā, sk. turpmāk (jo zemāks enerģijas patēriņš ciklā, jo vairāk punktu piešķir). </w:t>
      </w:r>
    </w:p>
    <w:p w14:paraId="6A5582B3"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6.1.Pasūtītājs norāda iepērkamās dezinfekcijas iekārtas veidu: </w:t>
      </w:r>
    </w:p>
    <w:p w14:paraId="6D83EB3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6.1.1.elastīgo endoskopu dezinfekcijas iekārta, </w:t>
      </w:r>
    </w:p>
    <w:p w14:paraId="78E35CD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6.1.2. visu pārējo instrumentu (vispārējo ķirurģisko instrumentu, MIS, anestēzijas, ortopēdijas u. c.) dezinfekcijas iekārta, </w:t>
      </w:r>
    </w:p>
    <w:p w14:paraId="456CB4D6"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6.1.3.dezinfekcijas iekārta tādiem lielgabarīta priekšmetiem kā sterilas tvertnes, ratiņi, operāciju zāles apavi u. c., </w:t>
      </w:r>
    </w:p>
    <w:p w14:paraId="766259C5"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6.1.4.cilvēka organisma izdalījumu tvertņu dezinfekcijas iekārta, </w:t>
      </w:r>
    </w:p>
    <w:p w14:paraId="361AC737" w14:textId="77777777" w:rsidR="000D67AB" w:rsidRPr="004A1D98" w:rsidRDefault="000D67AB" w:rsidP="00DE750E">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 viņam jānorāda šāda informācija: </w:t>
      </w:r>
    </w:p>
    <w:p w14:paraId="3C594B25"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6.2.1.konkrētā nepieciešamā slodze (slodzes apjoms), </w:t>
      </w:r>
    </w:p>
    <w:p w14:paraId="48A48CD4"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6.2.2.žāvēšanas cikla izmantošana (jā/nē), </w:t>
      </w:r>
    </w:p>
    <w:p w14:paraId="6BBB784E"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6.2.3.karstais ūdens (jā/nē), </w:t>
      </w:r>
    </w:p>
    <w:p w14:paraId="120339A1"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6.2.4.apstrādāts ūdens beigu skalošanā (jā/nē), </w:t>
      </w:r>
    </w:p>
    <w:p w14:paraId="20C6A18B"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6.2.5.apsildes metodes (tvaiks vai elektrība), </w:t>
      </w:r>
    </w:p>
    <w:p w14:paraId="7F3012FB"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6.2.6.spriegums. </w:t>
      </w:r>
    </w:p>
    <w:p w14:paraId="72551DF1"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6.3.Mērījumus veic ražotājs saskaņā ar: </w:t>
      </w:r>
    </w:p>
    <w:p w14:paraId="466AA30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A0 vērtību: </w:t>
      </w:r>
    </w:p>
    <w:p w14:paraId="03FC5255"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6.3.1.Ķirurģisko un analīzes instrumentu dezinfekcijas iekārta: A0 3000 </w:t>
      </w:r>
    </w:p>
    <w:p w14:paraId="01EF28C0"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6.3.2.Instrumentu un lielgabarīta priekšmetu dezinfekcijas iekārta: A0 600 </w:t>
      </w:r>
    </w:p>
    <w:p w14:paraId="4EFB051F"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6.3.3.Cilvēka organisma izdalījumu tvertņu dezinfekcijas iekārta: A0 60 </w:t>
      </w:r>
    </w:p>
    <w:p w14:paraId="0F005906"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6.3.4.Aukstais ūdens, maksimālā temperatūra 20 </w:t>
      </w:r>
      <w:r w:rsidRPr="004A1D98">
        <w:rPr>
          <w:rFonts w:ascii="Times New Roman" w:eastAsia="Times New Roman" w:hAnsi="Times New Roman" w:cs="Times New Roman"/>
          <w:color w:val="000000"/>
          <w:sz w:val="28"/>
          <w:szCs w:val="28"/>
          <w:vertAlign w:val="superscript"/>
          <w:lang w:val="lv-LV" w:eastAsia="ja-JP"/>
        </w:rPr>
        <w:t>o</w:t>
      </w:r>
      <w:r w:rsidRPr="004A1D98">
        <w:rPr>
          <w:rFonts w:ascii="Times New Roman" w:eastAsia="Times New Roman" w:hAnsi="Times New Roman" w:cs="Times New Roman"/>
          <w:color w:val="000000"/>
          <w:sz w:val="28"/>
          <w:szCs w:val="28"/>
          <w:lang w:val="lv-LV" w:eastAsia="ja-JP"/>
        </w:rPr>
        <w:t xml:space="preserve">C </w:t>
      </w:r>
    </w:p>
    <w:p w14:paraId="1B63EEBC"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6.3.5 Karstais ūdens, maksimālā temperatūra 60 </w:t>
      </w:r>
      <w:r w:rsidRPr="004A1D98">
        <w:rPr>
          <w:rFonts w:ascii="Times New Roman" w:eastAsia="Times New Roman" w:hAnsi="Times New Roman" w:cs="Times New Roman"/>
          <w:color w:val="000000"/>
          <w:sz w:val="28"/>
          <w:szCs w:val="28"/>
          <w:vertAlign w:val="superscript"/>
          <w:lang w:val="lv-LV" w:eastAsia="ja-JP"/>
        </w:rPr>
        <w:t>o</w:t>
      </w:r>
      <w:r w:rsidRPr="004A1D98">
        <w:rPr>
          <w:rFonts w:ascii="Times New Roman" w:eastAsia="Times New Roman" w:hAnsi="Times New Roman" w:cs="Times New Roman"/>
          <w:color w:val="000000"/>
          <w:sz w:val="28"/>
          <w:szCs w:val="28"/>
          <w:lang w:val="lv-LV" w:eastAsia="ja-JP"/>
        </w:rPr>
        <w:t>C</w:t>
      </w:r>
    </w:p>
    <w:p w14:paraId="63CA5492"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6.3.6. Apstrādāts ūdens, maksimālā temperatūra 20 </w:t>
      </w:r>
      <w:r w:rsidRPr="004A1D98">
        <w:rPr>
          <w:rFonts w:ascii="Times New Roman" w:eastAsia="Times New Roman" w:hAnsi="Times New Roman" w:cs="Times New Roman"/>
          <w:color w:val="000000"/>
          <w:sz w:val="28"/>
          <w:szCs w:val="28"/>
          <w:vertAlign w:val="superscript"/>
          <w:lang w:val="lv-LV" w:eastAsia="ja-JP"/>
        </w:rPr>
        <w:t>o</w:t>
      </w:r>
      <w:r w:rsidRPr="004A1D98">
        <w:rPr>
          <w:rFonts w:ascii="Times New Roman" w:eastAsia="Times New Roman" w:hAnsi="Times New Roman" w:cs="Times New Roman"/>
          <w:color w:val="000000"/>
          <w:sz w:val="28"/>
          <w:szCs w:val="28"/>
          <w:lang w:val="lv-LV" w:eastAsia="ja-JP"/>
        </w:rPr>
        <w:t xml:space="preserve">C </w:t>
      </w:r>
    </w:p>
    <w:p w14:paraId="641B60AB"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6.3.7. Tvaiks, maksimāli 500 kPa </w:t>
      </w:r>
    </w:p>
    <w:p w14:paraId="09587516"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Papildu testa nosacījumi energoefektivitātes mērījumiem ir pieejami vadlīnijās.</w:t>
      </w:r>
    </w:p>
    <w:p w14:paraId="2190953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Ražotājs norāda, kādi ir akceptēšanas kritēriji tīrīšanas, dezinfekcijas un žāvēšanas raksturlielumiem saskaņā ar piemērojamiem standartiem. </w:t>
      </w:r>
    </w:p>
    <w:p w14:paraId="42B98971"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Piegādātājs norāda energoefektivitāti vienā ciklā, pamatojoties uz iepriekšminētajiem kritērijiem.</w:t>
      </w:r>
    </w:p>
    <w:p w14:paraId="62DA96CE" w14:textId="77777777" w:rsidR="000D67AB" w:rsidRPr="004A1D98" w:rsidRDefault="000D67AB" w:rsidP="00426910">
      <w:pPr>
        <w:spacing w:before="120" w:after="120" w:line="240" w:lineRule="auto"/>
        <w:jc w:val="both"/>
        <w:rPr>
          <w:rFonts w:ascii="Times New Roman" w:eastAsia="Times New Roman" w:hAnsi="Times New Roman" w:cs="Times New Roman"/>
          <w:color w:val="000000"/>
          <w:sz w:val="28"/>
          <w:szCs w:val="28"/>
          <w:lang w:val="lv-LV" w:eastAsia="lv-LV"/>
        </w:rPr>
      </w:pPr>
    </w:p>
    <w:p w14:paraId="76D8461B" w14:textId="77777777" w:rsidR="000D67AB" w:rsidRPr="004A1D98" w:rsidRDefault="000D67AB" w:rsidP="00426910">
      <w:pPr>
        <w:spacing w:before="120" w:after="120" w:line="240" w:lineRule="auto"/>
        <w:jc w:val="both"/>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7. AUTOMĀTISKS MAZJAUDAS REŽĪMS MEDICĪNISKAJIEM AUTOKLĀVIEM, DEZINFEKCIJAS, DT, EKG DIAGNOSTIKAS, MRI UN ULTRASKAŅAS IEKĀRTĀM </w:t>
      </w:r>
    </w:p>
    <w:p w14:paraId="620681E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ja iekārtu var konfigurēt automātiskai pārejai uz gaidstāves vai izslēgtu režīmu pēc konkrēta bezdarbības laikposma vai pēc iepriekš noteikta grafika saskaņā ar turpmāk norādīto paraugu. Par DT un MRI iekārtām punktus piešķir, ja skeneris ir aprīkots ar mazjaudas režīmu, kuru var aktivizēt iekārtas operators. </w:t>
      </w:r>
    </w:p>
    <w:tbl>
      <w:tblPr>
        <w:tblW w:w="8516" w:type="dxa"/>
        <w:tblCellMar>
          <w:left w:w="10" w:type="dxa"/>
          <w:right w:w="10" w:type="dxa"/>
        </w:tblCellMar>
        <w:tblLook w:val="04A0" w:firstRow="1" w:lastRow="0" w:firstColumn="1" w:lastColumn="0" w:noHBand="0" w:noVBand="1"/>
      </w:tblPr>
      <w:tblGrid>
        <w:gridCol w:w="2850"/>
        <w:gridCol w:w="2857"/>
        <w:gridCol w:w="2809"/>
      </w:tblGrid>
      <w:tr w:rsidR="000D67AB" w:rsidRPr="004A1D98" w14:paraId="048D75E5" w14:textId="77777777" w:rsidTr="000A7815">
        <w:tc>
          <w:tcPr>
            <w:tcW w:w="28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B1692F" w14:textId="77777777" w:rsidR="000D67AB" w:rsidRPr="004A1D98" w:rsidRDefault="000D67AB" w:rsidP="00426910">
            <w:pPr>
              <w:shd w:val="clear" w:color="auto" w:fill="D8D8D8"/>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Iekārtas</w:t>
            </w:r>
          </w:p>
        </w:tc>
        <w:tc>
          <w:tcPr>
            <w:tcW w:w="28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1CFEBF" w14:textId="77777777" w:rsidR="000D67AB" w:rsidRPr="004A1D98" w:rsidRDefault="000D67AB" w:rsidP="00426910">
            <w:pPr>
              <w:shd w:val="clear" w:color="auto" w:fill="D8D8D8"/>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No režīma</w:t>
            </w:r>
          </w:p>
        </w:tc>
        <w:tc>
          <w:tcPr>
            <w:tcW w:w="28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65DAF3" w14:textId="77777777" w:rsidR="000D67AB" w:rsidRPr="004A1D98" w:rsidRDefault="000D67AB" w:rsidP="00426910">
            <w:pPr>
              <w:shd w:val="clear" w:color="auto" w:fill="D8D8D8"/>
              <w:suppressAutoHyphens/>
              <w:autoSpaceDN w:val="0"/>
              <w:spacing w:before="120" w:after="120" w:line="240" w:lineRule="auto"/>
              <w:jc w:val="center"/>
              <w:textAlignment w:val="baseline"/>
              <w:rPr>
                <w:rFonts w:ascii="Times New Roman" w:eastAsia="Times New Roman" w:hAnsi="Times New Roman" w:cs="Times New Roman"/>
                <w:b/>
                <w:color w:val="000000"/>
                <w:sz w:val="28"/>
                <w:szCs w:val="28"/>
                <w:lang w:val="lv-LV" w:eastAsia="ja-JP"/>
              </w:rPr>
            </w:pPr>
            <w:r w:rsidRPr="004A1D98">
              <w:rPr>
                <w:rFonts w:ascii="Times New Roman" w:eastAsia="Times New Roman" w:hAnsi="Times New Roman" w:cs="Times New Roman"/>
                <w:b/>
                <w:color w:val="000000"/>
                <w:sz w:val="28"/>
                <w:szCs w:val="28"/>
                <w:lang w:val="lv-LV" w:eastAsia="ja-JP"/>
              </w:rPr>
              <w:t>Uz režīmu</w:t>
            </w:r>
          </w:p>
        </w:tc>
      </w:tr>
      <w:tr w:rsidR="000D67AB" w:rsidRPr="004A1D98" w14:paraId="51354915" w14:textId="77777777" w:rsidTr="000A7815">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08EF5"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Medicīniskie autoklāvi un dezinfekcijas iekārtas </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932C2"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Gatavības režīms </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D0994"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Gaidstāves režīms </w:t>
            </w:r>
          </w:p>
        </w:tc>
      </w:tr>
      <w:tr w:rsidR="000D67AB" w:rsidRPr="004A1D98" w14:paraId="1002ABE7" w14:textId="77777777" w:rsidTr="000A7815">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418E10"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DT iekārtas </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3B0B6"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Brīvgaita </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F1919"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Mazjaudas režīms </w:t>
            </w:r>
          </w:p>
        </w:tc>
      </w:tr>
      <w:tr w:rsidR="000D67AB" w:rsidRPr="004A1D98" w14:paraId="67078968" w14:textId="77777777" w:rsidTr="000A7815">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96BE6"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EKG diagnostikas iekārtas </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D2C20"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Aktīvs vai gaidstāves režīms </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8BBC"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Izslēgts režīms </w:t>
            </w:r>
          </w:p>
        </w:tc>
      </w:tr>
      <w:tr w:rsidR="000D67AB" w:rsidRPr="004A1D98" w14:paraId="3BB9094E" w14:textId="77777777" w:rsidTr="000A7815">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3A04"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MRI iekārtas </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801F"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Skenēšanas gatavības režīms </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D08D7"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Mazjaudas režīms </w:t>
            </w:r>
          </w:p>
        </w:tc>
      </w:tr>
      <w:tr w:rsidR="000D67AB" w:rsidRPr="004A1D98" w14:paraId="04F531EB" w14:textId="77777777" w:rsidTr="000A7815">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6D013" w14:textId="77777777" w:rsidR="000D67AB" w:rsidRPr="004A1D98" w:rsidRDefault="000D67AB" w:rsidP="00426910">
            <w:pPr>
              <w:suppressAutoHyphens/>
              <w:autoSpaceDN w:val="0"/>
              <w:spacing w:before="120" w:after="120" w:line="240" w:lineRule="auto"/>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Ultraskaņas iekārtas </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94178"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Skenēšanas gatavības režīms (ultraskaņas iekārta ir ieslēgta un gatava radīt attēlu. Ieslēgti ir visi moduļi, izņemot tos, kas nepieciešami skenēšanai (pārveidotājs nav aktivizēts.)) </w:t>
            </w:r>
          </w:p>
        </w:tc>
        <w:tc>
          <w:tcPr>
            <w:tcW w:w="2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166E6"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Gaidstāves režīms </w:t>
            </w:r>
          </w:p>
        </w:tc>
      </w:tr>
    </w:tbl>
    <w:p w14:paraId="4D88A5D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Punktus piešķir arī tad, ja iekārtai ir īsa un automatizēta palaide uz pilnu funkcionalitāti, pēc tam, kad aktivizēta tās automātiskā funkcija saskaņā ar iepriekšminēto. Jānorāda laiks sekundēs un aktīvās darbības, kas jāveic personālam. Jo īsāks laiks un jo mazāk darbību nepieciešams, jo vairāk punktu piešķir. </w:t>
      </w:r>
    </w:p>
    <w:p w14:paraId="0E50078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Režīmu definīcijas atbilst vadlīnijās sniegtajām. </w:t>
      </w:r>
    </w:p>
    <w:p w14:paraId="2F3DF1C8"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p>
    <w:p w14:paraId="7671456B" w14:textId="77777777" w:rsidR="000D67AB" w:rsidRPr="004A1D98" w:rsidRDefault="000D67AB" w:rsidP="00426910">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8. IEKĀRTA AR MĒRIERĪCI </w:t>
      </w:r>
    </w:p>
    <w:p w14:paraId="728109D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ja ierīce ir aprīkota vai var tikt aprīkota ar mērierīci, lai varētu novērot un reģistrēt aktuālā patēriņa datus (elektrībai, ūdenim (attiecīgā gadījumā) un gāzei (attiecas uz anestēzijas un intensīvās aprūpes iekārtām). Lietotājam būtu arī jāspēj iegūt vēsturiskā patēriņa statistikas datus atskaites formā. Piegādātājs norāda patēriņa mērierīces nosacījumus, kā arī to, vai tiks piemērotas papildu izmaksas. Piegādātājs arī norāda ierobežojumus saistībā ar to, ko vai kā personāls var izmērīt ar mērierīci. </w:t>
      </w:r>
    </w:p>
    <w:p w14:paraId="5B6258C9" w14:textId="77777777" w:rsidR="000D67AB" w:rsidRPr="004A1D98" w:rsidRDefault="000D67AB" w:rsidP="00426910">
      <w:pPr>
        <w:spacing w:before="120" w:after="120" w:line="240" w:lineRule="auto"/>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Punktus piešķir, ja iegūtos datus var automātiski nosūtīt uz datu apkopošanas centrālo punktu.</w:t>
      </w:r>
    </w:p>
    <w:p w14:paraId="66F50A55" w14:textId="77777777" w:rsidR="000D67AB" w:rsidRPr="004A1D98" w:rsidRDefault="000D67AB" w:rsidP="00426910">
      <w:pPr>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14.3. ZPI kritēriji ūdens izmantošanas efektivitātei</w:t>
      </w:r>
    </w:p>
    <w:tbl>
      <w:tblPr>
        <w:tblW w:w="8472" w:type="dxa"/>
        <w:tblCellMar>
          <w:left w:w="10" w:type="dxa"/>
          <w:right w:w="10" w:type="dxa"/>
        </w:tblCellMar>
        <w:tblLook w:val="04A0" w:firstRow="1" w:lastRow="0" w:firstColumn="1" w:lastColumn="0" w:noHBand="0" w:noVBand="1"/>
      </w:tblPr>
      <w:tblGrid>
        <w:gridCol w:w="3510"/>
        <w:gridCol w:w="4962"/>
      </w:tblGrid>
      <w:tr w:rsidR="000D67AB" w:rsidRPr="004A1D98" w14:paraId="6BD054D6"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19A4D9F"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Iepirkuma dokumentu sastāvdaļas</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7A0B86E" w14:textId="77777777" w:rsidR="000D67AB" w:rsidRPr="004A1D98" w:rsidRDefault="000D67AB" w:rsidP="00426910">
            <w:pPr>
              <w:spacing w:before="120" w:after="120" w:line="240" w:lineRule="auto"/>
              <w:jc w:val="center"/>
              <w:rPr>
                <w:rFonts w:ascii="Times New Roman" w:eastAsia="Times New Roman" w:hAnsi="Times New Roman" w:cs="Times New Roman"/>
                <w:b/>
                <w:color w:val="000000"/>
                <w:sz w:val="28"/>
                <w:szCs w:val="28"/>
                <w:lang w:val="lv-LV" w:eastAsia="lv-LV"/>
              </w:rPr>
            </w:pPr>
            <w:r w:rsidRPr="004A1D98">
              <w:rPr>
                <w:rFonts w:ascii="Times New Roman" w:eastAsia="Times New Roman" w:hAnsi="Times New Roman" w:cs="Times New Roman"/>
                <w:b/>
                <w:color w:val="000000"/>
                <w:sz w:val="28"/>
                <w:szCs w:val="28"/>
                <w:lang w:val="lv-LV" w:eastAsia="lv-LV"/>
              </w:rPr>
              <w:t>ZPI kritēriji</w:t>
            </w:r>
          </w:p>
        </w:tc>
      </w:tr>
      <w:tr w:rsidR="000D67AB" w:rsidRPr="004A1D98" w14:paraId="43DC91F2" w14:textId="77777777" w:rsidTr="000A7815">
        <w:trPr>
          <w:trHeight w:val="552"/>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7FC4" w14:textId="77777777" w:rsidR="000D67AB" w:rsidRPr="004A1D98" w:rsidRDefault="000D67AB" w:rsidP="00426910">
            <w:pPr>
              <w:spacing w:before="120" w:after="120" w:line="240" w:lineRule="auto"/>
              <w:jc w:val="center"/>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Piedāvājuma izvērtēšanas kritēriji</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95CF1" w14:textId="77777777" w:rsidR="000D67AB" w:rsidRPr="004A1D98" w:rsidRDefault="000D67AB" w:rsidP="00ED3172">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1. ŪDENS PATĒRIŅŠ HEMODIALĪZES IEKĀRTĀ </w:t>
            </w:r>
          </w:p>
          <w:p w14:paraId="274F621E"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Papildu punktus piešķir atbilstoši ūdens patēriņam vienā procedūrā (jo zemāks ūdens patēriņš, jo vairāk punktu piešķir). </w:t>
            </w:r>
          </w:p>
          <w:p w14:paraId="2B73E733" w14:textId="77777777" w:rsidR="000D67AB" w:rsidRPr="004A1D98" w:rsidRDefault="000D67AB" w:rsidP="00ED3172">
            <w:pPr>
              <w:spacing w:after="0" w:line="240" w:lineRule="auto"/>
              <w:jc w:val="both"/>
              <w:rPr>
                <w:rFonts w:ascii="Times New Roman" w:eastAsia="Times New Roman" w:hAnsi="Times New Roman" w:cs="Times New Roman"/>
                <w:color w:val="000000"/>
                <w:sz w:val="28"/>
                <w:szCs w:val="28"/>
                <w:lang w:val="lv-LV" w:eastAsia="lv-LV"/>
              </w:rPr>
            </w:pPr>
            <w:r w:rsidRPr="004A1D98">
              <w:rPr>
                <w:rFonts w:ascii="Times New Roman" w:eastAsia="Times New Roman" w:hAnsi="Times New Roman" w:cs="Times New Roman"/>
                <w:color w:val="000000"/>
                <w:sz w:val="28"/>
                <w:szCs w:val="28"/>
                <w:lang w:val="lv-LV" w:eastAsia="lv-LV"/>
              </w:rPr>
              <w:t xml:space="preserve">Procedūras cikls atbilst turpmāk norādītajam saskaņā ar piemērojamiem standartiem: </w:t>
            </w:r>
          </w:p>
          <w:p w14:paraId="18796240"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1.1.Tests – ilgums atkarīgs no mehānisma </w:t>
            </w:r>
          </w:p>
          <w:p w14:paraId="03BAF91C"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1.2.Uzpildīšana/skalošana – 10 minūtes </w:t>
            </w:r>
          </w:p>
          <w:p w14:paraId="36F36211"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1.3.Posms pirms cirkulācijas – 15 minūtes </w:t>
            </w:r>
          </w:p>
          <w:p w14:paraId="3205F72D"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1.4.Dialīze – 4 stundas </w:t>
            </w:r>
          </w:p>
          <w:p w14:paraId="29E83A63"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1.5.Karsēšana/ ķīmiskā dezinfekcija – ilgums atkarīgs no mehānisma. Dezinfekcijas veidu norāda pasūtītājs. </w:t>
            </w:r>
          </w:p>
          <w:p w14:paraId="4D14B4EA"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Punktus piešķir iekārtām ar zema ūdens patēriņa funkciju (vismaz 50 procenti ūdens patēriņa samazinājums posmā pirms cirkulācijas). </w:t>
            </w:r>
          </w:p>
          <w:p w14:paraId="2E6D63C1"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Punktus piešķir iekārtām ar funkciju bez ūdens patēriņa gaidstāves režīmā (100 procenti samazinājums taupības režīmā). </w:t>
            </w:r>
          </w:p>
          <w:p w14:paraId="3598A86C"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Pasūtītājam ieprikuma prodedūras dokumentos jānorāda, cik daudz punktu piešķirs par katru piešķiršanas kritēriju. </w:t>
            </w:r>
          </w:p>
          <w:p w14:paraId="3C8211C0" w14:textId="77777777" w:rsidR="000D67AB" w:rsidRPr="004A1D98" w:rsidRDefault="000D67AB" w:rsidP="00ED3172">
            <w:pPr>
              <w:keepNext/>
              <w:keepLines/>
              <w:suppressAutoHyphens/>
              <w:autoSpaceDN w:val="0"/>
              <w:spacing w:before="120" w:after="120" w:line="240" w:lineRule="auto"/>
              <w:jc w:val="both"/>
              <w:textAlignment w:val="baseline"/>
              <w:outlineLvl w:val="1"/>
              <w:rPr>
                <w:rFonts w:ascii="Times New Roman" w:eastAsia="Times New Roman" w:hAnsi="Times New Roman" w:cs="Times New Roman"/>
                <w:bCs/>
                <w:color w:val="000000"/>
                <w:sz w:val="28"/>
                <w:szCs w:val="28"/>
                <w:lang w:val="lv-LV"/>
              </w:rPr>
            </w:pPr>
            <w:r w:rsidRPr="004A1D98">
              <w:rPr>
                <w:rFonts w:ascii="Times New Roman" w:eastAsia="Times New Roman" w:hAnsi="Times New Roman" w:cs="Times New Roman"/>
                <w:bCs/>
                <w:color w:val="000000"/>
                <w:sz w:val="28"/>
                <w:szCs w:val="28"/>
                <w:lang w:val="lv-LV"/>
              </w:rPr>
              <w:t xml:space="preserve">2. SKALOŠANAS UN MAZGĀŠANAS–DEZINFEKCIJAS IEKĀRTAS ŪDENS PATĒRIŅŠ </w:t>
            </w:r>
          </w:p>
          <w:p w14:paraId="64EFB669" w14:textId="77777777" w:rsidR="000D67AB" w:rsidRPr="004A1D98" w:rsidRDefault="000D67AB" w:rsidP="00ED3172">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2.1.Pasūtītājs norāda iepērkamās dezinfekcijas iekārtas veidu: </w:t>
            </w:r>
          </w:p>
          <w:p w14:paraId="5B35B4CE"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2.1.1.elastīgo endoskopu dezinfekcijas iekārta, </w:t>
            </w:r>
          </w:p>
          <w:p w14:paraId="36663ACC"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2.1.2.visu pārējo instrumentu (vispārējo ķirurģisko instrumentu, MIS, anestēzijas, ortopēdijas u. c.) dezinfekcijas iekārta, </w:t>
            </w:r>
          </w:p>
          <w:p w14:paraId="0AEA7689"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2.1.3.dezinfekcijas iekārta tādiem lielgabarīta priekšmetiem kā sterilas tvertnes, ratiņi, operāciju zāles apavi u. c., </w:t>
            </w:r>
          </w:p>
          <w:p w14:paraId="5FD211C0"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2.1.4.cilvēka organisma izdalījumu tvertņu dezinfekcijas iekārta, </w:t>
            </w:r>
          </w:p>
          <w:p w14:paraId="18FFE47E" w14:textId="77777777" w:rsidR="000D67AB" w:rsidRPr="004A1D98" w:rsidRDefault="000D67AB" w:rsidP="00ED3172">
            <w:pPr>
              <w:suppressAutoHyphens/>
              <w:autoSpaceDN w:val="0"/>
              <w:spacing w:before="120" w:after="120" w:line="240" w:lineRule="auto"/>
              <w:ind w:hanging="720"/>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2.2.viņam jānorāda šāda informācija: </w:t>
            </w:r>
          </w:p>
          <w:p w14:paraId="2BED8546"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2.2.1.īpašā nepieciešamā slodze (slodzes apjoms), </w:t>
            </w:r>
          </w:p>
          <w:p w14:paraId="521E9D8E"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2.2.2.žāvēšanas cikla izmantošana (jā/nē), </w:t>
            </w:r>
          </w:p>
          <w:p w14:paraId="7B8F233B" w14:textId="77777777" w:rsidR="000D67AB" w:rsidRPr="004A1D98" w:rsidRDefault="000D67AB" w:rsidP="00ED3172">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2.2.3.karstais ūdens (jā/nē), </w:t>
            </w:r>
          </w:p>
          <w:p w14:paraId="3D4775AF"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2.2.4.apstrādāts ūdens beigu skalošanā (jā/nē), </w:t>
            </w:r>
          </w:p>
          <w:p w14:paraId="797AA019"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2.2.5.apsildes metodes (tvaiks vai elektrība), </w:t>
            </w:r>
          </w:p>
          <w:p w14:paraId="705CE401"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2.2.6.spriegums. </w:t>
            </w:r>
          </w:p>
          <w:p w14:paraId="36A3DD32"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2.3.Mērījumus veic ražotājs saskaņā ar: </w:t>
            </w:r>
          </w:p>
          <w:p w14:paraId="4769911E"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A0 vērtību: </w:t>
            </w:r>
          </w:p>
          <w:p w14:paraId="37F11074"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2.3.1.Ķirurģisko un analīzes instrumentu dezinfekcijas iekārta: A0 3000 </w:t>
            </w:r>
          </w:p>
          <w:p w14:paraId="361102D7"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2.3.2.Instrumentu un lielgabarīta priekšmetu dezinfekcijas iekārta: A0 600 </w:t>
            </w:r>
          </w:p>
          <w:p w14:paraId="45A6BDA2"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2.3.3.Cilvēka organisma izdalījumu tvertņu dezinfekcijas iekārta: A0 60 </w:t>
            </w:r>
          </w:p>
          <w:p w14:paraId="28C5CD4A" w14:textId="77777777" w:rsidR="000D67AB" w:rsidRPr="004A1D98" w:rsidRDefault="000D67AB" w:rsidP="00426910">
            <w:pPr>
              <w:tabs>
                <w:tab w:val="left" w:pos="720"/>
              </w:tabs>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2.3.4.Aukstais ūdens, maksimālā temperatūra 20 </w:t>
            </w:r>
            <w:r w:rsidRPr="004A1D98">
              <w:rPr>
                <w:rFonts w:ascii="Times New Roman" w:eastAsia="Times New Roman" w:hAnsi="Times New Roman" w:cs="Times New Roman"/>
                <w:color w:val="000000"/>
                <w:sz w:val="28"/>
                <w:szCs w:val="28"/>
                <w:vertAlign w:val="superscript"/>
                <w:lang w:val="lv-LV" w:eastAsia="ja-JP"/>
              </w:rPr>
              <w:t>o</w:t>
            </w:r>
            <w:r w:rsidRPr="004A1D98">
              <w:rPr>
                <w:rFonts w:ascii="Times New Roman" w:eastAsia="Times New Roman" w:hAnsi="Times New Roman" w:cs="Times New Roman"/>
                <w:color w:val="000000"/>
                <w:sz w:val="28"/>
                <w:szCs w:val="28"/>
                <w:lang w:val="lv-LV" w:eastAsia="ja-JP"/>
              </w:rPr>
              <w:t xml:space="preserve">C </w:t>
            </w:r>
          </w:p>
          <w:p w14:paraId="476156C4"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2.3.5.Karstais ūdens, maksimālā temperatūra 60 </w:t>
            </w:r>
            <w:r w:rsidRPr="004A1D98">
              <w:rPr>
                <w:rFonts w:ascii="Times New Roman" w:eastAsia="Times New Roman" w:hAnsi="Times New Roman" w:cs="Times New Roman"/>
                <w:color w:val="000000"/>
                <w:sz w:val="28"/>
                <w:szCs w:val="28"/>
                <w:vertAlign w:val="superscript"/>
                <w:lang w:val="lv-LV" w:eastAsia="ja-JP"/>
              </w:rPr>
              <w:t>o</w:t>
            </w:r>
            <w:r w:rsidRPr="004A1D98">
              <w:rPr>
                <w:rFonts w:ascii="Times New Roman" w:eastAsia="Times New Roman" w:hAnsi="Times New Roman" w:cs="Times New Roman"/>
                <w:color w:val="000000"/>
                <w:sz w:val="28"/>
                <w:szCs w:val="28"/>
                <w:lang w:val="lv-LV" w:eastAsia="ja-JP"/>
              </w:rPr>
              <w:t>C</w:t>
            </w:r>
          </w:p>
          <w:p w14:paraId="7C4A7098"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2.3.6.Apstrādāts ūdens, maksimālā temperatūra 20 </w:t>
            </w:r>
            <w:r w:rsidRPr="004A1D98">
              <w:rPr>
                <w:rFonts w:ascii="Times New Roman" w:eastAsia="Times New Roman" w:hAnsi="Times New Roman" w:cs="Times New Roman"/>
                <w:color w:val="000000"/>
                <w:sz w:val="28"/>
                <w:szCs w:val="28"/>
                <w:vertAlign w:val="superscript"/>
                <w:lang w:val="lv-LV" w:eastAsia="ja-JP"/>
              </w:rPr>
              <w:t>o</w:t>
            </w:r>
            <w:r w:rsidRPr="004A1D98">
              <w:rPr>
                <w:rFonts w:ascii="Times New Roman" w:eastAsia="Times New Roman" w:hAnsi="Times New Roman" w:cs="Times New Roman"/>
                <w:color w:val="000000"/>
                <w:sz w:val="28"/>
                <w:szCs w:val="28"/>
                <w:lang w:val="lv-LV" w:eastAsia="ja-JP"/>
              </w:rPr>
              <w:t xml:space="preserve">C </w:t>
            </w:r>
          </w:p>
          <w:p w14:paraId="4ECE7DCA"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2.3.7.Tvaiks, maksimāli 500 kPa </w:t>
            </w:r>
          </w:p>
          <w:p w14:paraId="62BC90E9"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Ražotājs norāda, kādi ir akceptēšanas kritēriji tīrīšanas, dezinfekcijas un žāvēšanas raksturlielumiem saskaņā ar piemērojamiem standartiem. </w:t>
            </w:r>
          </w:p>
          <w:p w14:paraId="77103560" w14:textId="77777777" w:rsidR="000D67AB" w:rsidRPr="004A1D98" w:rsidRDefault="000D67AB" w:rsidP="00426910">
            <w:pPr>
              <w:suppressAutoHyphens/>
              <w:autoSpaceDN w:val="0"/>
              <w:spacing w:before="120" w:after="120" w:line="240" w:lineRule="auto"/>
              <w:jc w:val="both"/>
              <w:textAlignment w:val="baseline"/>
              <w:rPr>
                <w:rFonts w:ascii="Times New Roman" w:eastAsia="Times New Roman" w:hAnsi="Times New Roman" w:cs="Times New Roman"/>
                <w:color w:val="000000"/>
                <w:sz w:val="28"/>
                <w:szCs w:val="28"/>
                <w:lang w:val="lv-LV" w:eastAsia="ja-JP"/>
              </w:rPr>
            </w:pPr>
            <w:r w:rsidRPr="004A1D98">
              <w:rPr>
                <w:rFonts w:ascii="Times New Roman" w:eastAsia="Times New Roman" w:hAnsi="Times New Roman" w:cs="Times New Roman"/>
                <w:color w:val="000000"/>
                <w:sz w:val="28"/>
                <w:szCs w:val="28"/>
                <w:lang w:val="lv-LV" w:eastAsia="ja-JP"/>
              </w:rPr>
              <w:t xml:space="preserve">Piegādātājs norāda ūdens patēriņu vienā ciklā, pamatojoties uz iepriekšminētajiem kritērijiem. </w:t>
            </w:r>
          </w:p>
        </w:tc>
      </w:tr>
    </w:tbl>
    <w:p w14:paraId="7FD7C44E" w14:textId="77777777" w:rsidR="000D67AB" w:rsidRPr="004A1D98" w:rsidRDefault="000D67AB" w:rsidP="00426910">
      <w:pPr>
        <w:tabs>
          <w:tab w:val="left" w:pos="4678"/>
        </w:tabs>
        <w:spacing w:after="0" w:line="240" w:lineRule="auto"/>
        <w:rPr>
          <w:rFonts w:ascii="Times New Roman" w:eastAsia="Times New Roman" w:hAnsi="Times New Roman" w:cs="Times New Roman"/>
          <w:sz w:val="28"/>
          <w:szCs w:val="28"/>
          <w:lang w:val="lv-LV" w:eastAsia="lv-LV"/>
        </w:rPr>
      </w:pPr>
    </w:p>
    <w:p w14:paraId="19934164"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4140653B"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5E786259"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4B61C8F9"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0167CDBB"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064C272D"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32878B38" w14:textId="77777777" w:rsidR="00E64454" w:rsidRPr="004A1D98" w:rsidRDefault="00E64454" w:rsidP="00426910">
      <w:pPr>
        <w:tabs>
          <w:tab w:val="left" w:pos="4678"/>
        </w:tabs>
        <w:spacing w:after="0" w:line="240" w:lineRule="auto"/>
        <w:rPr>
          <w:rFonts w:ascii="Times New Roman" w:eastAsia="Times New Roman" w:hAnsi="Times New Roman" w:cs="Times New Roman"/>
          <w:sz w:val="28"/>
          <w:szCs w:val="28"/>
          <w:lang w:val="lv-LV" w:eastAsia="lv-LV"/>
        </w:rPr>
      </w:pPr>
    </w:p>
    <w:p w14:paraId="1392EAE9" w14:textId="257DCE17"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eastAsia="lv-LV"/>
        </w:rPr>
        <w:t>1</w:t>
      </w:r>
      <w:r w:rsidR="00D23E91">
        <w:rPr>
          <w:rFonts w:ascii="Times New Roman" w:eastAsia="MS Gothic" w:hAnsi="Times New Roman" w:cs="Times New Roman"/>
          <w:b/>
          <w:bCs/>
          <w:color w:val="000000"/>
          <w:sz w:val="28"/>
          <w:szCs w:val="28"/>
          <w:lang w:val="lv-LV" w:eastAsia="lv-LV"/>
        </w:rPr>
        <w:t>4</w:t>
      </w:r>
      <w:r w:rsidRPr="004A1D98">
        <w:rPr>
          <w:rFonts w:ascii="Times New Roman" w:eastAsia="MS Gothic" w:hAnsi="Times New Roman" w:cs="Times New Roman"/>
          <w:b/>
          <w:bCs/>
          <w:color w:val="000000"/>
          <w:sz w:val="28"/>
          <w:szCs w:val="28"/>
          <w:lang w:val="lv-LV" w:eastAsia="lv-LV"/>
        </w:rPr>
        <w:t xml:space="preserve">. </w:t>
      </w:r>
      <w:bookmarkStart w:id="6" w:name="_Hlk37331141"/>
      <w:r w:rsidRPr="004A1D98">
        <w:rPr>
          <w:rFonts w:ascii="Times New Roman" w:eastAsia="MS Gothic" w:hAnsi="Times New Roman" w:cs="Times New Roman"/>
          <w:b/>
          <w:bCs/>
          <w:color w:val="000000"/>
          <w:sz w:val="28"/>
          <w:szCs w:val="28"/>
          <w:lang w:val="lv-LV"/>
        </w:rPr>
        <w:t xml:space="preserve">Atpūtas un sporta infrastruktūra </w:t>
      </w:r>
    </w:p>
    <w:p w14:paraId="064AA8D1" w14:textId="77777777" w:rsidR="000D67AB" w:rsidRPr="004A1D98" w:rsidRDefault="000D67AB" w:rsidP="00426910">
      <w:pPr>
        <w:spacing w:after="0" w:line="240" w:lineRule="auto"/>
        <w:rPr>
          <w:rFonts w:ascii="Times New Roman" w:eastAsia="Calibri" w:hAnsi="Times New Roman" w:cs="Times New Roman"/>
          <w:sz w:val="28"/>
          <w:szCs w:val="28"/>
          <w:lang w:val="lv-LV"/>
        </w:rPr>
      </w:pPr>
    </w:p>
    <w:p w14:paraId="793B07EE" w14:textId="77777777" w:rsidR="000D67AB" w:rsidRPr="004A1D98" w:rsidRDefault="000D67AB" w:rsidP="00426910">
      <w:pPr>
        <w:jc w:val="both"/>
        <w:rPr>
          <w:rFonts w:ascii="Times New Roman" w:eastAsia="Calibri" w:hAnsi="Times New Roman" w:cs="Times New Roman"/>
          <w:sz w:val="28"/>
          <w:szCs w:val="28"/>
          <w:lang w:val="lv-LV"/>
        </w:rPr>
      </w:pPr>
      <w:r w:rsidRPr="004A1D98">
        <w:rPr>
          <w:rFonts w:ascii="Times New Roman" w:eastAsia="Calibri" w:hAnsi="Times New Roman" w:cs="Times New Roman"/>
          <w:sz w:val="28"/>
          <w:szCs w:val="28"/>
          <w:lang w:val="lv-LV"/>
        </w:rPr>
        <w:t xml:space="preserve">Prasības un kritēriji aptver atpūtas un sporta infrastruktūras elementus. </w:t>
      </w:r>
    </w:p>
    <w:bookmarkEnd w:id="6"/>
    <w:p w14:paraId="68AC2387" w14:textId="6657FC81" w:rsidR="000D67AB" w:rsidRPr="004A1D98" w:rsidRDefault="000D67AB" w:rsidP="00426910">
      <w:pPr>
        <w:keepNext/>
        <w:keepLines/>
        <w:spacing w:before="480" w:after="0" w:line="240" w:lineRule="auto"/>
        <w:jc w:val="center"/>
        <w:outlineLvl w:val="0"/>
        <w:rPr>
          <w:rFonts w:ascii="Times New Roman" w:eastAsia="MS Gothic" w:hAnsi="Times New Roman" w:cs="Times New Roman"/>
          <w:b/>
          <w:bCs/>
          <w:color w:val="000000"/>
          <w:sz w:val="28"/>
          <w:szCs w:val="28"/>
          <w:lang w:val="lv-LV"/>
        </w:rPr>
      </w:pPr>
      <w:r w:rsidRPr="004A1D98">
        <w:rPr>
          <w:rFonts w:ascii="Times New Roman" w:eastAsia="MS Gothic" w:hAnsi="Times New Roman" w:cs="Times New Roman"/>
          <w:b/>
          <w:bCs/>
          <w:color w:val="000000"/>
          <w:sz w:val="28"/>
          <w:szCs w:val="28"/>
          <w:lang w:val="lv-LV"/>
        </w:rPr>
        <w:t>1</w:t>
      </w:r>
      <w:r w:rsidR="00D23E91">
        <w:rPr>
          <w:rFonts w:ascii="Times New Roman" w:eastAsia="MS Gothic" w:hAnsi="Times New Roman" w:cs="Times New Roman"/>
          <w:b/>
          <w:bCs/>
          <w:color w:val="000000"/>
          <w:sz w:val="28"/>
          <w:szCs w:val="28"/>
          <w:lang w:val="lv-LV"/>
        </w:rPr>
        <w:t>4</w:t>
      </w:r>
      <w:r w:rsidRPr="004A1D98">
        <w:rPr>
          <w:rFonts w:ascii="Times New Roman" w:eastAsia="MS Gothic" w:hAnsi="Times New Roman" w:cs="Times New Roman"/>
          <w:b/>
          <w:bCs/>
          <w:color w:val="000000"/>
          <w:sz w:val="28"/>
          <w:szCs w:val="28"/>
          <w:lang w:val="lv-LV"/>
        </w:rPr>
        <w:t>.1. ZPI prasības un kritēriji atpūtas un sporta infrastruktūrai</w:t>
      </w:r>
    </w:p>
    <w:p w14:paraId="2EDBEBCE" w14:textId="77777777" w:rsidR="000D67AB" w:rsidRPr="004A1D98" w:rsidRDefault="000D67AB" w:rsidP="00426910">
      <w:pPr>
        <w:spacing w:after="0" w:line="240" w:lineRule="auto"/>
        <w:rPr>
          <w:rFonts w:ascii="Times New Roman" w:eastAsia="Calibri" w:hAnsi="Times New Roman" w:cs="Times New Roman"/>
          <w:sz w:val="28"/>
          <w:szCs w:val="28"/>
          <w:lang w:val="lv-LV"/>
        </w:rPr>
      </w:pPr>
    </w:p>
    <w:tbl>
      <w:tblPr>
        <w:tblStyle w:val="TableGrid5"/>
        <w:tblW w:w="0" w:type="auto"/>
        <w:tblLook w:val="04A0" w:firstRow="1" w:lastRow="0" w:firstColumn="1" w:lastColumn="0" w:noHBand="0" w:noVBand="1"/>
      </w:tblPr>
      <w:tblGrid>
        <w:gridCol w:w="2578"/>
        <w:gridCol w:w="5917"/>
      </w:tblGrid>
      <w:tr w:rsidR="000D67AB" w:rsidRPr="004A1D98" w14:paraId="18043D65" w14:textId="77777777" w:rsidTr="000A7815">
        <w:tc>
          <w:tcPr>
            <w:tcW w:w="2578" w:type="dxa"/>
            <w:tcBorders>
              <w:top w:val="single" w:sz="4" w:space="0" w:color="auto"/>
              <w:left w:val="single" w:sz="4" w:space="0" w:color="auto"/>
              <w:bottom w:val="single" w:sz="4" w:space="0" w:color="auto"/>
              <w:right w:val="single" w:sz="4" w:space="0" w:color="auto"/>
            </w:tcBorders>
            <w:shd w:val="clear" w:color="auto" w:fill="AEAAAA"/>
            <w:hideMark/>
          </w:tcPr>
          <w:p w14:paraId="45F1F7AE" w14:textId="77777777" w:rsidR="000D67AB" w:rsidRPr="004A1D98" w:rsidRDefault="000D67AB" w:rsidP="00426910">
            <w:pPr>
              <w:rPr>
                <w:rFonts w:ascii="Times New Roman" w:hAnsi="Times New Roman"/>
                <w:b/>
                <w:sz w:val="28"/>
                <w:szCs w:val="28"/>
                <w:lang w:val="lv-LV"/>
              </w:rPr>
            </w:pPr>
            <w:bookmarkStart w:id="7" w:name="_Hlk21178085"/>
            <w:r w:rsidRPr="004A1D98">
              <w:rPr>
                <w:rFonts w:ascii="Times New Roman" w:hAnsi="Times New Roman"/>
                <w:b/>
                <w:sz w:val="28"/>
                <w:szCs w:val="28"/>
                <w:lang w:val="lv-LV"/>
              </w:rPr>
              <w:t>Iepirkuma dokumentu sastāvdaļas</w:t>
            </w:r>
          </w:p>
        </w:tc>
        <w:tc>
          <w:tcPr>
            <w:tcW w:w="5917" w:type="dxa"/>
            <w:tcBorders>
              <w:top w:val="single" w:sz="4" w:space="0" w:color="auto"/>
              <w:left w:val="single" w:sz="4" w:space="0" w:color="auto"/>
              <w:bottom w:val="single" w:sz="4" w:space="0" w:color="auto"/>
              <w:right w:val="single" w:sz="4" w:space="0" w:color="auto"/>
            </w:tcBorders>
            <w:shd w:val="clear" w:color="auto" w:fill="AEAAAA"/>
            <w:hideMark/>
          </w:tcPr>
          <w:p w14:paraId="6EB7B0BD" w14:textId="77777777" w:rsidR="000D67AB" w:rsidRPr="004A1D98" w:rsidRDefault="000D67AB" w:rsidP="00426910">
            <w:pPr>
              <w:rPr>
                <w:rFonts w:ascii="Times New Roman" w:hAnsi="Times New Roman"/>
                <w:b/>
                <w:sz w:val="28"/>
                <w:szCs w:val="28"/>
                <w:lang w:val="lv-LV"/>
              </w:rPr>
            </w:pPr>
            <w:r w:rsidRPr="004A1D98">
              <w:rPr>
                <w:rFonts w:ascii="Times New Roman" w:hAnsi="Times New Roman"/>
                <w:b/>
                <w:sz w:val="28"/>
                <w:szCs w:val="28"/>
                <w:lang w:val="lv-LV"/>
              </w:rPr>
              <w:t>ZPI prasības un kritēriji</w:t>
            </w:r>
          </w:p>
        </w:tc>
      </w:tr>
      <w:tr w:rsidR="000D67AB" w:rsidRPr="004A1D98" w14:paraId="0670270D" w14:textId="77777777" w:rsidTr="000A7815">
        <w:tc>
          <w:tcPr>
            <w:tcW w:w="2578" w:type="dxa"/>
            <w:tcBorders>
              <w:top w:val="single" w:sz="4" w:space="0" w:color="auto"/>
              <w:left w:val="single" w:sz="4" w:space="0" w:color="auto"/>
              <w:bottom w:val="single" w:sz="4" w:space="0" w:color="auto"/>
              <w:right w:val="single" w:sz="4" w:space="0" w:color="auto"/>
            </w:tcBorders>
            <w:hideMark/>
          </w:tcPr>
          <w:p w14:paraId="75B4138B" w14:textId="77777777" w:rsidR="000D67AB" w:rsidRPr="004A1D98" w:rsidRDefault="000D67AB" w:rsidP="00426910">
            <w:pPr>
              <w:rPr>
                <w:rFonts w:ascii="Times New Roman" w:hAnsi="Times New Roman"/>
                <w:sz w:val="28"/>
                <w:szCs w:val="28"/>
                <w:lang w:val="lv-LV"/>
              </w:rPr>
            </w:pPr>
            <w:r w:rsidRPr="004A1D98">
              <w:rPr>
                <w:rFonts w:ascii="Times New Roman" w:hAnsi="Times New Roman"/>
                <w:sz w:val="28"/>
                <w:szCs w:val="28"/>
                <w:lang w:val="lv-LV"/>
              </w:rPr>
              <w:t>Iepirkuma priekšmets</w:t>
            </w:r>
          </w:p>
        </w:tc>
        <w:tc>
          <w:tcPr>
            <w:tcW w:w="5917" w:type="dxa"/>
            <w:tcBorders>
              <w:top w:val="single" w:sz="4" w:space="0" w:color="auto"/>
              <w:left w:val="single" w:sz="4" w:space="0" w:color="auto"/>
              <w:bottom w:val="single" w:sz="4" w:space="0" w:color="auto"/>
              <w:right w:val="single" w:sz="4" w:space="0" w:color="auto"/>
            </w:tcBorders>
            <w:hideMark/>
          </w:tcPr>
          <w:p w14:paraId="185EC31E"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Atpūtas un sporta infrastruktūras iepirkums, kas ražoti, izmantojot videi draudzīgus materiālus un procesus. </w:t>
            </w:r>
          </w:p>
        </w:tc>
      </w:tr>
      <w:tr w:rsidR="000D67AB" w:rsidRPr="004A1D98" w14:paraId="147D21BE" w14:textId="77777777" w:rsidTr="000A7815">
        <w:tc>
          <w:tcPr>
            <w:tcW w:w="2578" w:type="dxa"/>
            <w:vMerge w:val="restart"/>
            <w:tcBorders>
              <w:top w:val="single" w:sz="4" w:space="0" w:color="auto"/>
              <w:left w:val="single" w:sz="4" w:space="0" w:color="auto"/>
              <w:bottom w:val="single" w:sz="4" w:space="0" w:color="auto"/>
              <w:right w:val="single" w:sz="4" w:space="0" w:color="auto"/>
            </w:tcBorders>
          </w:tcPr>
          <w:p w14:paraId="1796C656" w14:textId="77777777" w:rsidR="000D67AB" w:rsidRPr="004A1D98" w:rsidRDefault="000D67AB" w:rsidP="00426910">
            <w:pPr>
              <w:rPr>
                <w:rFonts w:ascii="Times New Roman" w:hAnsi="Times New Roman"/>
                <w:sz w:val="28"/>
                <w:szCs w:val="28"/>
                <w:lang w:val="lv-LV"/>
              </w:rPr>
            </w:pPr>
            <w:r w:rsidRPr="004A1D98">
              <w:rPr>
                <w:rFonts w:ascii="Times New Roman" w:hAnsi="Times New Roman"/>
                <w:sz w:val="28"/>
                <w:szCs w:val="28"/>
                <w:lang w:val="lv-LV"/>
              </w:rPr>
              <w:t xml:space="preserve">Tehniskā specifikācijas </w:t>
            </w:r>
          </w:p>
          <w:p w14:paraId="0E4395F4" w14:textId="77777777" w:rsidR="000D67AB" w:rsidRPr="004A1D98" w:rsidRDefault="000D67AB" w:rsidP="00426910">
            <w:pPr>
              <w:rPr>
                <w:rFonts w:ascii="Times New Roman" w:hAnsi="Times New Roman"/>
                <w:sz w:val="28"/>
                <w:szCs w:val="28"/>
                <w:lang w:val="lv-LV"/>
              </w:rPr>
            </w:pPr>
          </w:p>
        </w:tc>
        <w:tc>
          <w:tcPr>
            <w:tcW w:w="5917" w:type="dxa"/>
            <w:tcBorders>
              <w:top w:val="single" w:sz="4" w:space="0" w:color="auto"/>
              <w:left w:val="single" w:sz="4" w:space="0" w:color="auto"/>
              <w:bottom w:val="single" w:sz="4" w:space="0" w:color="auto"/>
              <w:right w:val="single" w:sz="4" w:space="0" w:color="auto"/>
            </w:tcBorders>
            <w:hideMark/>
          </w:tcPr>
          <w:p w14:paraId="51DC7AC5"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1. Norādījumi projektēšanā un izmantoto materiālu vides kritēriji.</w:t>
            </w:r>
          </w:p>
          <w:p w14:paraId="125EBC33"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A.  KOKSNE UN KOKSNES MATERIĀLI </w:t>
            </w:r>
          </w:p>
          <w:p w14:paraId="5766A1D4"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Visai koksnei un koksnes materiāliem ir jānāk no likumīgas izcelsmes koksnes. </w:t>
            </w:r>
          </w:p>
          <w:p w14:paraId="175B2FCA"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B. OTRREIZ PĀRSTRĀDĀTO MATERIĀLU SATURS (GUMIJA, PLASTMASA, METĀLS, RIEPAS)</w:t>
            </w:r>
          </w:p>
          <w:p w14:paraId="20450FD5"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Infrastruktūras izbūvē un tās objektu izbūvē ir jāizmanto gan pimreizēji, gan pārstrādāti materiāli, piemēram, pārstrādāta koksne, plastmasa, metāls, gumiju un/vai nolietotas riepas.</w:t>
            </w:r>
          </w:p>
        </w:tc>
      </w:tr>
      <w:tr w:rsidR="000D67AB" w:rsidRPr="004A1D98" w14:paraId="1CE2AC43" w14:textId="77777777" w:rsidTr="000A7815">
        <w:tc>
          <w:tcPr>
            <w:tcW w:w="0" w:type="auto"/>
            <w:vMerge/>
            <w:tcBorders>
              <w:top w:val="single" w:sz="4" w:space="0" w:color="auto"/>
              <w:left w:val="single" w:sz="4" w:space="0" w:color="auto"/>
              <w:bottom w:val="single" w:sz="4" w:space="0" w:color="auto"/>
              <w:right w:val="single" w:sz="4" w:space="0" w:color="auto"/>
            </w:tcBorders>
            <w:vAlign w:val="center"/>
            <w:hideMark/>
          </w:tcPr>
          <w:p w14:paraId="1F8434D1" w14:textId="77777777" w:rsidR="000D67AB" w:rsidRPr="004A1D98" w:rsidRDefault="000D67AB" w:rsidP="00426910">
            <w:pPr>
              <w:rPr>
                <w:rFonts w:ascii="Times New Roman" w:hAnsi="Times New Roman"/>
                <w:sz w:val="28"/>
                <w:szCs w:val="28"/>
                <w:lang w:val="lv-LV"/>
              </w:rPr>
            </w:pPr>
          </w:p>
        </w:tc>
        <w:tc>
          <w:tcPr>
            <w:tcW w:w="5917" w:type="dxa"/>
            <w:tcBorders>
              <w:top w:val="single" w:sz="4" w:space="0" w:color="auto"/>
              <w:left w:val="single" w:sz="4" w:space="0" w:color="auto"/>
              <w:bottom w:val="single" w:sz="4" w:space="0" w:color="auto"/>
              <w:right w:val="single" w:sz="4" w:space="0" w:color="auto"/>
            </w:tcBorders>
            <w:hideMark/>
          </w:tcPr>
          <w:p w14:paraId="2DEAF1A5"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2. VIRSMAS APSTRĀDE UN PĀRKLĀJUMS</w:t>
            </w:r>
          </w:p>
          <w:p w14:paraId="294517DE"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Virsmas apstrāde/pārklājumi ir atļauta tikai funkcionālu iemeslu dēļ. Piemēram, lai nodrošinātu koksnes izturību vai novērstu oksidāciju sakausējuma elementos. </w:t>
            </w:r>
          </w:p>
          <w:p w14:paraId="5AB159B7"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Izmantotie virsmas pārklājumi: </w:t>
            </w:r>
          </w:p>
          <w:p w14:paraId="60CBB8EA" w14:textId="77777777" w:rsidR="000D67AB" w:rsidRPr="004A1D98" w:rsidRDefault="000D67AB" w:rsidP="00ED3172">
            <w:pPr>
              <w:numPr>
                <w:ilvl w:val="1"/>
                <w:numId w:val="65"/>
              </w:numPr>
              <w:suppressAutoHyphens/>
              <w:autoSpaceDN w:val="0"/>
              <w:ind w:left="0" w:firstLine="0"/>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 nepieciešams izmantot ķīmisko vielu klasifikāciju atbilstoši CLP regulai Nr. 1272/2008  </w:t>
            </w:r>
          </w:p>
          <w:p w14:paraId="0281D762" w14:textId="77777777" w:rsidR="000D67AB" w:rsidRPr="004A1D98" w:rsidRDefault="000D67AB" w:rsidP="00ED3172">
            <w:pPr>
              <w:numPr>
                <w:ilvl w:val="1"/>
                <w:numId w:val="65"/>
              </w:numPr>
              <w:suppressAutoHyphens/>
              <w:autoSpaceDN w:val="0"/>
              <w:ind w:left="0" w:firstLine="0"/>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 nedrīkst saturēt vairāk kā 5 masas procentus gaistošu organisko savienojumu (GOS);  </w:t>
            </w:r>
          </w:p>
          <w:p w14:paraId="4A306D11" w14:textId="77777777" w:rsidR="000D67AB" w:rsidRPr="004A1D98" w:rsidRDefault="000D67AB" w:rsidP="00ED3172">
            <w:pPr>
              <w:numPr>
                <w:ilvl w:val="1"/>
                <w:numId w:val="65"/>
              </w:numPr>
              <w:suppressAutoHyphens/>
              <w:autoSpaceDN w:val="0"/>
              <w:ind w:left="0" w:hanging="502"/>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ftalātiem: nav atļauta tādu ftalātu lietošana, kas piedāvājuma iesniegšanas laikā atbilst kādai šādu riska frāžu (vai to kombinācijas) klasifikācijai: R60, R61, R62 (atbilstoši Eiropas Parlamenta un Padomes 2008. gada 16. decembra Regulai Nr. 1272/2008 par vielu un maisījumu klasificēšanu, marķēšanu un iepakošanu un ar ko groza un atceļ direktīvas 67/548/EEK un 1999/45/EK un groza regulu (EK) Nr. 1907/2006); </w:t>
            </w:r>
          </w:p>
          <w:p w14:paraId="3ED5144C" w14:textId="77777777" w:rsidR="000D67AB" w:rsidRPr="004A1D98" w:rsidRDefault="000D67AB" w:rsidP="00ED3172">
            <w:pPr>
              <w:numPr>
                <w:ilvl w:val="1"/>
                <w:numId w:val="65"/>
              </w:numPr>
              <w:suppressAutoHyphens/>
              <w:autoSpaceDN w:val="0"/>
              <w:ind w:left="0" w:hanging="502"/>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nedrīkst saturēt aziridīnu; </w:t>
            </w:r>
          </w:p>
          <w:p w14:paraId="0F788067" w14:textId="77777777" w:rsidR="000D67AB" w:rsidRPr="004A1D98" w:rsidRDefault="000D67AB" w:rsidP="00ED3172">
            <w:pPr>
              <w:numPr>
                <w:ilvl w:val="1"/>
                <w:numId w:val="65"/>
              </w:numPr>
              <w:suppressAutoHyphens/>
              <w:autoSpaceDN w:val="0"/>
              <w:ind w:left="0" w:hanging="502"/>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nedrīkst saturēt hroma (VI) savienojumus. </w:t>
            </w:r>
          </w:p>
        </w:tc>
      </w:tr>
      <w:tr w:rsidR="000D67AB" w:rsidRPr="004A1D98" w14:paraId="688E97C7" w14:textId="77777777" w:rsidTr="000A7815">
        <w:tc>
          <w:tcPr>
            <w:tcW w:w="0" w:type="auto"/>
            <w:vMerge/>
            <w:tcBorders>
              <w:top w:val="single" w:sz="4" w:space="0" w:color="auto"/>
              <w:left w:val="single" w:sz="4" w:space="0" w:color="auto"/>
              <w:bottom w:val="single" w:sz="4" w:space="0" w:color="auto"/>
              <w:right w:val="single" w:sz="4" w:space="0" w:color="auto"/>
            </w:tcBorders>
            <w:vAlign w:val="center"/>
          </w:tcPr>
          <w:p w14:paraId="3EF74CB3" w14:textId="77777777" w:rsidR="000D67AB" w:rsidRPr="004A1D98" w:rsidRDefault="000D67AB" w:rsidP="00426910">
            <w:pPr>
              <w:rPr>
                <w:rFonts w:ascii="Times New Roman" w:hAnsi="Times New Roman"/>
                <w:sz w:val="28"/>
                <w:szCs w:val="28"/>
                <w:lang w:val="lv-LV"/>
              </w:rPr>
            </w:pPr>
          </w:p>
        </w:tc>
        <w:tc>
          <w:tcPr>
            <w:tcW w:w="5917" w:type="dxa"/>
            <w:tcBorders>
              <w:top w:val="single" w:sz="4" w:space="0" w:color="auto"/>
              <w:left w:val="single" w:sz="4" w:space="0" w:color="auto"/>
              <w:bottom w:val="single" w:sz="4" w:space="0" w:color="auto"/>
              <w:right w:val="single" w:sz="4" w:space="0" w:color="auto"/>
            </w:tcBorders>
          </w:tcPr>
          <w:p w14:paraId="30463802"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3. EKODIZAINS: DEMONTĀŽA</w:t>
            </w:r>
          </w:p>
          <w:p w14:paraId="10DF7B6C"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Infrastruktūru nepieciešams projektēt tā, lai to dzīves laikā varētu izjaukt un  noderīga, lai tā daļas un komponentus varētu viegli atdalīt un nosūtīt reģenerācijai, piemēram, sagatavotšana atkārtotai izmantošanai vai pārstrādei.</w:t>
            </w:r>
          </w:p>
        </w:tc>
      </w:tr>
      <w:tr w:rsidR="000D67AB" w:rsidRPr="004A1D98" w14:paraId="11F80361" w14:textId="77777777" w:rsidTr="000A7815">
        <w:tc>
          <w:tcPr>
            <w:tcW w:w="2578" w:type="dxa"/>
            <w:tcBorders>
              <w:top w:val="single" w:sz="4" w:space="0" w:color="auto"/>
              <w:left w:val="single" w:sz="4" w:space="0" w:color="auto"/>
              <w:bottom w:val="single" w:sz="4" w:space="0" w:color="auto"/>
              <w:right w:val="single" w:sz="4" w:space="0" w:color="auto"/>
            </w:tcBorders>
            <w:hideMark/>
          </w:tcPr>
          <w:p w14:paraId="41619A50" w14:textId="77777777" w:rsidR="000D67AB" w:rsidRPr="004A1D98" w:rsidRDefault="000D67AB" w:rsidP="00426910">
            <w:pPr>
              <w:rPr>
                <w:rFonts w:ascii="Times New Roman" w:hAnsi="Times New Roman"/>
                <w:sz w:val="28"/>
                <w:szCs w:val="28"/>
                <w:lang w:val="lv-LV"/>
              </w:rPr>
            </w:pPr>
            <w:r w:rsidRPr="004A1D98">
              <w:rPr>
                <w:rFonts w:ascii="Times New Roman" w:hAnsi="Times New Roman"/>
                <w:sz w:val="28"/>
                <w:szCs w:val="28"/>
                <w:lang w:val="lv-LV"/>
              </w:rPr>
              <w:t>Piedāvājuma izvērtēšanas kritēriji</w:t>
            </w:r>
          </w:p>
        </w:tc>
        <w:tc>
          <w:tcPr>
            <w:tcW w:w="5917" w:type="dxa"/>
            <w:tcBorders>
              <w:top w:val="single" w:sz="4" w:space="0" w:color="auto"/>
              <w:left w:val="single" w:sz="4" w:space="0" w:color="auto"/>
              <w:bottom w:val="single" w:sz="4" w:space="0" w:color="auto"/>
              <w:right w:val="single" w:sz="4" w:space="0" w:color="auto"/>
            </w:tcBorders>
          </w:tcPr>
          <w:p w14:paraId="5869D3EA"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1. IZEJMATERIĀLI / ILGTSPĒJĪGA MEŽU APSAIMNIEKOŠANA</w:t>
            </w:r>
          </w:p>
          <w:p w14:paraId="6EF3A494"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Papildu punkti tiks piešķirti par tādu no koksnes, koksnes šķiedras vai koksnes skaidām izgatavotu gala produktu īpatsvaru, kuru izcelsme ir meži, kuru pārvaldīšana, īstenojot ilgtspējīgas mežu apsaimniekošanas principus un pasākumus, ir pierādīta – ar nosacījumu, ka šie kritēriji raksturo produktu un ir attiecināmi uz to. </w:t>
            </w:r>
          </w:p>
          <w:p w14:paraId="13FDA32D"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2. OTRREIZ PĀRSTRĀDĀTO MATERIĀLU SATURS </w:t>
            </w:r>
          </w:p>
          <w:p w14:paraId="0469ADEC"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Papildu punkti tiks piešķirs par noteiktu pārstrādāto koksnes, plastmasas, metāla, un/vai nolietoto riepu materiālu masas procentuālo attiecību galaproduktā, ja pārstrādātā materiāla apjoms ir vismaz 50% no kopējā svara.</w:t>
            </w:r>
          </w:p>
          <w:p w14:paraId="6541EF87"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 xml:space="preserve">3. APRITES EKONOMIKAS PLĀNS. </w:t>
            </w:r>
          </w:p>
          <w:p w14:paraId="2D8F021C" w14:textId="77777777" w:rsidR="000D67AB" w:rsidRPr="004A1D98" w:rsidRDefault="000D67AB" w:rsidP="00ED3172">
            <w:pPr>
              <w:jc w:val="both"/>
              <w:rPr>
                <w:rFonts w:ascii="Times New Roman" w:hAnsi="Times New Roman"/>
                <w:sz w:val="28"/>
                <w:szCs w:val="28"/>
                <w:lang w:val="lv-LV"/>
              </w:rPr>
            </w:pPr>
            <w:r w:rsidRPr="004A1D98">
              <w:rPr>
                <w:rFonts w:ascii="Times New Roman" w:hAnsi="Times New Roman"/>
                <w:sz w:val="28"/>
                <w:szCs w:val="28"/>
                <w:lang w:val="lv-LV"/>
              </w:rPr>
              <w:t>Pretendentam jāiesniedz plāns, kas ietver sekojošas daļas:</w:t>
            </w:r>
          </w:p>
          <w:p w14:paraId="6250AD82" w14:textId="77777777" w:rsidR="000D67AB" w:rsidRPr="004A1D98" w:rsidRDefault="000D67AB" w:rsidP="00ED3172">
            <w:pPr>
              <w:numPr>
                <w:ilvl w:val="0"/>
                <w:numId w:val="66"/>
              </w:numPr>
              <w:suppressAutoHyphens/>
              <w:autoSpaceDN w:val="0"/>
              <w:ind w:left="0"/>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konkrēts redzējums turpmākai darbībai; </w:t>
            </w:r>
          </w:p>
          <w:p w14:paraId="4C1D3D0D" w14:textId="77777777" w:rsidR="000D67AB" w:rsidRPr="004A1D98" w:rsidRDefault="000D67AB" w:rsidP="00ED3172">
            <w:pPr>
              <w:numPr>
                <w:ilvl w:val="0"/>
                <w:numId w:val="66"/>
              </w:numPr>
              <w:suppressAutoHyphens/>
              <w:autoSpaceDN w:val="0"/>
              <w:ind w:left="0"/>
              <w:jc w:val="both"/>
              <w:textAlignment w:val="baseline"/>
              <w:rPr>
                <w:rFonts w:ascii="Times New Roman" w:hAnsi="Times New Roman"/>
                <w:sz w:val="28"/>
                <w:szCs w:val="28"/>
                <w:lang w:val="lv-LV"/>
              </w:rPr>
            </w:pPr>
            <w:r w:rsidRPr="004A1D98">
              <w:rPr>
                <w:rFonts w:ascii="Times New Roman" w:hAnsi="Times New Roman"/>
                <w:sz w:val="28"/>
                <w:szCs w:val="28"/>
                <w:lang w:val="lv-LV"/>
              </w:rPr>
              <w:t>attīstība saskaņā aprites ekonomikas principiem līguma laikā;</w:t>
            </w:r>
          </w:p>
          <w:p w14:paraId="18BBF9FC" w14:textId="77777777" w:rsidR="000D67AB" w:rsidRPr="004A1D98" w:rsidRDefault="000D67AB" w:rsidP="00ED3172">
            <w:pPr>
              <w:numPr>
                <w:ilvl w:val="0"/>
                <w:numId w:val="66"/>
              </w:numPr>
              <w:suppressAutoHyphens/>
              <w:autoSpaceDN w:val="0"/>
              <w:ind w:left="0"/>
              <w:jc w:val="both"/>
              <w:textAlignment w:val="baseline"/>
              <w:rPr>
                <w:rFonts w:ascii="Times New Roman" w:hAnsi="Times New Roman"/>
                <w:sz w:val="28"/>
                <w:szCs w:val="28"/>
                <w:lang w:val="lv-LV"/>
              </w:rPr>
            </w:pPr>
            <w:r w:rsidRPr="004A1D98">
              <w:rPr>
                <w:rFonts w:ascii="Times New Roman" w:hAnsi="Times New Roman"/>
                <w:sz w:val="28"/>
                <w:szCs w:val="28"/>
                <w:lang w:val="lv-LV"/>
              </w:rPr>
              <w:t>darba organizēšana un sadale līguma darbības laikā;</w:t>
            </w:r>
          </w:p>
          <w:p w14:paraId="7E71FF5A" w14:textId="77777777" w:rsidR="000D67AB" w:rsidRPr="004A1D98" w:rsidRDefault="000D67AB" w:rsidP="00ED3172">
            <w:pPr>
              <w:numPr>
                <w:ilvl w:val="0"/>
                <w:numId w:val="66"/>
              </w:numPr>
              <w:suppressAutoHyphens/>
              <w:autoSpaceDN w:val="0"/>
              <w:ind w:left="0"/>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pretendentam / piegādātājam paredzētās lomas un atbildība; </w:t>
            </w:r>
          </w:p>
          <w:p w14:paraId="765E127C" w14:textId="77777777" w:rsidR="000D67AB" w:rsidRPr="004A1D98" w:rsidRDefault="000D67AB" w:rsidP="00ED3172">
            <w:pPr>
              <w:numPr>
                <w:ilvl w:val="0"/>
                <w:numId w:val="66"/>
              </w:numPr>
              <w:suppressAutoHyphens/>
              <w:autoSpaceDN w:val="0"/>
              <w:ind w:left="0"/>
              <w:jc w:val="both"/>
              <w:textAlignment w:val="baseline"/>
              <w:rPr>
                <w:rFonts w:ascii="Times New Roman" w:hAnsi="Times New Roman"/>
                <w:sz w:val="28"/>
                <w:szCs w:val="28"/>
                <w:lang w:val="lv-LV"/>
              </w:rPr>
            </w:pPr>
            <w:r w:rsidRPr="004A1D98">
              <w:rPr>
                <w:rFonts w:ascii="Times New Roman" w:hAnsi="Times New Roman"/>
                <w:sz w:val="28"/>
                <w:szCs w:val="28"/>
                <w:lang w:val="lv-LV"/>
              </w:rPr>
              <w:t xml:space="preserve">konkrēts produkta redzējums par izejvielu izmantošanu, papildus punkti tiek piešķirti, ja daļa no otrreizējiem pārstrādes produktiem tiek iepirkta, piemēram, ne tālāk kā 250 km attālumā no ražotnes/piegādes vietas. </w:t>
            </w:r>
          </w:p>
        </w:tc>
      </w:tr>
      <w:bookmarkEnd w:id="7"/>
    </w:tbl>
    <w:p w14:paraId="2C115F40" w14:textId="77777777" w:rsidR="000D67AB" w:rsidRPr="004A1D98" w:rsidRDefault="000D67AB" w:rsidP="00426910">
      <w:pPr>
        <w:spacing w:after="0" w:line="240" w:lineRule="auto"/>
        <w:rPr>
          <w:rFonts w:ascii="Times New Roman" w:eastAsia="Times New Roman" w:hAnsi="Times New Roman" w:cs="Times New Roman"/>
          <w:color w:val="000000"/>
          <w:sz w:val="28"/>
          <w:szCs w:val="28"/>
          <w:lang w:val="lv-LV" w:eastAsia="lv-LV"/>
        </w:rPr>
      </w:pPr>
    </w:p>
    <w:p w14:paraId="29BFB350" w14:textId="77777777" w:rsidR="004A1D98" w:rsidRPr="004A1D98" w:rsidRDefault="004A1D98" w:rsidP="004A1D98">
      <w:pPr>
        <w:spacing w:after="120" w:line="264" w:lineRule="auto"/>
        <w:jc w:val="both"/>
        <w:rPr>
          <w:rFonts w:ascii="Times New Roman" w:eastAsia="SimSun" w:hAnsi="Times New Roman" w:cs="Times New Roman"/>
          <w:sz w:val="28"/>
          <w:szCs w:val="28"/>
          <w:lang w:val="lv-LV"/>
        </w:rPr>
      </w:pPr>
      <w:r w:rsidRPr="004A1D98">
        <w:rPr>
          <w:rFonts w:ascii="Times New Roman" w:eastAsia="SimSun" w:hAnsi="Times New Roman" w:cs="Times New Roman"/>
          <w:sz w:val="28"/>
          <w:szCs w:val="28"/>
          <w:lang w:val="lv-LV"/>
        </w:rPr>
        <w:t xml:space="preserve">Vides aizsardzības un </w:t>
      </w:r>
    </w:p>
    <w:p w14:paraId="3A4ED98E" w14:textId="3AA91740" w:rsidR="004A1D98" w:rsidRPr="004A1D98" w:rsidRDefault="004A1D98" w:rsidP="004A1D98">
      <w:pPr>
        <w:tabs>
          <w:tab w:val="left" w:pos="6345"/>
        </w:tabs>
        <w:spacing w:after="120" w:line="264" w:lineRule="auto"/>
        <w:jc w:val="both"/>
        <w:rPr>
          <w:rFonts w:ascii="Times New Roman" w:eastAsia="SimSun" w:hAnsi="Times New Roman" w:cs="Times New Roman"/>
          <w:sz w:val="28"/>
          <w:szCs w:val="28"/>
          <w:lang w:val="lv-LV"/>
        </w:rPr>
      </w:pPr>
      <w:r w:rsidRPr="004A1D98">
        <w:rPr>
          <w:rFonts w:ascii="Times New Roman" w:eastAsia="SimSun" w:hAnsi="Times New Roman" w:cs="Times New Roman"/>
          <w:sz w:val="28"/>
          <w:szCs w:val="28"/>
          <w:lang w:val="lv-LV"/>
        </w:rPr>
        <w:t>reģionālās attīstības ministrs</w:t>
      </w:r>
      <w:r w:rsidRPr="004A1D98">
        <w:rPr>
          <w:rFonts w:ascii="Times New Roman" w:eastAsia="SimSun" w:hAnsi="Times New Roman" w:cs="Times New Roman"/>
          <w:sz w:val="28"/>
          <w:szCs w:val="28"/>
          <w:lang w:val="lv-LV"/>
        </w:rPr>
        <w:tab/>
      </w:r>
      <w:r w:rsidR="00B64B25">
        <w:rPr>
          <w:rFonts w:ascii="Times New Roman" w:eastAsia="SimSun" w:hAnsi="Times New Roman" w:cs="Times New Roman"/>
          <w:sz w:val="28"/>
          <w:szCs w:val="28"/>
          <w:lang w:val="lv-LV"/>
        </w:rPr>
        <w:t>A.T.Plešs</w:t>
      </w:r>
      <w:r>
        <w:rPr>
          <w:rFonts w:ascii="Times New Roman" w:eastAsia="SimSun" w:hAnsi="Times New Roman" w:cs="Times New Roman"/>
          <w:sz w:val="28"/>
          <w:szCs w:val="28"/>
          <w:lang w:val="lv-LV"/>
        </w:rPr>
        <w:t>”</w:t>
      </w:r>
    </w:p>
    <w:p w14:paraId="41E5A0D9" w14:textId="77777777" w:rsidR="00FA6628" w:rsidRDefault="00FA6628" w:rsidP="00426910">
      <w:pPr>
        <w:pStyle w:val="ListParagraph"/>
        <w:spacing w:line="293" w:lineRule="atLeast"/>
        <w:ind w:left="0"/>
        <w:jc w:val="right"/>
        <w:rPr>
          <w:rFonts w:ascii="Times New Roman" w:hAnsi="Times New Roman"/>
          <w:kern w:val="16"/>
          <w:sz w:val="28"/>
          <w:szCs w:val="28"/>
          <w:lang w:val="lv-LV" w:eastAsia="ar-SA"/>
        </w:rPr>
      </w:pPr>
    </w:p>
    <w:p w14:paraId="5013E7B6" w14:textId="77777777" w:rsidR="004A1D98" w:rsidRDefault="004A1D98" w:rsidP="00426910">
      <w:pPr>
        <w:pStyle w:val="ListParagraph"/>
        <w:spacing w:line="293" w:lineRule="atLeast"/>
        <w:ind w:left="0"/>
        <w:jc w:val="right"/>
        <w:rPr>
          <w:rFonts w:ascii="Times New Roman" w:hAnsi="Times New Roman"/>
          <w:kern w:val="16"/>
          <w:sz w:val="28"/>
          <w:szCs w:val="28"/>
          <w:lang w:val="lv-LV" w:eastAsia="ar-SA"/>
        </w:rPr>
      </w:pPr>
    </w:p>
    <w:p w14:paraId="569B9569" w14:textId="77777777" w:rsidR="004A1D98" w:rsidRPr="004A1D98" w:rsidRDefault="004A1D98" w:rsidP="004A1D98">
      <w:pPr>
        <w:pStyle w:val="ListParagraph"/>
        <w:spacing w:line="293" w:lineRule="atLeast"/>
        <w:ind w:left="0"/>
        <w:rPr>
          <w:rFonts w:ascii="Times New Roman" w:hAnsi="Times New Roman"/>
          <w:kern w:val="16"/>
          <w:sz w:val="28"/>
          <w:szCs w:val="28"/>
          <w:lang w:val="lv-LV" w:eastAsia="ar-SA"/>
        </w:rPr>
      </w:pPr>
    </w:p>
    <w:p w14:paraId="5551CF6C" w14:textId="77777777" w:rsidR="00641034" w:rsidRPr="004A1D98" w:rsidRDefault="00641034" w:rsidP="00426910">
      <w:pPr>
        <w:spacing w:after="0" w:line="293" w:lineRule="atLeast"/>
        <w:jc w:val="right"/>
        <w:rPr>
          <w:rFonts w:ascii="Times New Roman" w:eastAsia="Times New Roman" w:hAnsi="Times New Roman" w:cs="Times New Roman"/>
          <w:kern w:val="1"/>
          <w:sz w:val="28"/>
          <w:szCs w:val="28"/>
          <w:lang w:val="lv-LV" w:eastAsia="ar-SA"/>
        </w:rPr>
      </w:pPr>
    </w:p>
    <w:p w14:paraId="6B517EAC" w14:textId="3727A019" w:rsidR="0071139C" w:rsidRPr="004A1D98" w:rsidRDefault="0071139C" w:rsidP="00014EA3">
      <w:pPr>
        <w:spacing w:after="0" w:line="293" w:lineRule="atLeast"/>
        <w:jc w:val="both"/>
        <w:rPr>
          <w:rFonts w:ascii="Times New Roman" w:eastAsia="Times New Roman" w:hAnsi="Times New Roman" w:cs="Times New Roman"/>
          <w:kern w:val="1"/>
          <w:sz w:val="28"/>
          <w:szCs w:val="28"/>
          <w:lang w:val="lv-LV" w:eastAsia="ar-SA"/>
        </w:rPr>
      </w:pPr>
      <w:r w:rsidRPr="004A1D98">
        <w:rPr>
          <w:rFonts w:ascii="Times New Roman" w:eastAsia="Times New Roman" w:hAnsi="Times New Roman" w:cs="Times New Roman"/>
          <w:kern w:val="1"/>
          <w:sz w:val="28"/>
          <w:szCs w:val="28"/>
          <w:lang w:val="lv-LV" w:eastAsia="ar-SA"/>
        </w:rPr>
        <w:t xml:space="preserve">Ministru prezidents </w:t>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t>A. K. Kariņš</w:t>
      </w:r>
    </w:p>
    <w:p w14:paraId="307586EB" w14:textId="77777777" w:rsidR="0071139C" w:rsidRPr="004A1D98" w:rsidRDefault="0071139C" w:rsidP="00426910">
      <w:pPr>
        <w:spacing w:after="0" w:line="293" w:lineRule="atLeast"/>
        <w:ind w:firstLine="720"/>
        <w:jc w:val="both"/>
        <w:rPr>
          <w:rFonts w:ascii="Times New Roman" w:eastAsia="Times New Roman" w:hAnsi="Times New Roman" w:cs="Times New Roman"/>
          <w:kern w:val="1"/>
          <w:sz w:val="28"/>
          <w:szCs w:val="28"/>
          <w:lang w:val="lv-LV" w:eastAsia="ar-SA"/>
        </w:rPr>
      </w:pPr>
    </w:p>
    <w:p w14:paraId="16C13918" w14:textId="722E1AEE" w:rsidR="0071139C" w:rsidRPr="004A1D98" w:rsidRDefault="0071139C" w:rsidP="00426910">
      <w:pPr>
        <w:spacing w:after="0" w:line="293" w:lineRule="atLeast"/>
        <w:jc w:val="both"/>
        <w:rPr>
          <w:rFonts w:ascii="Times New Roman" w:eastAsia="Times New Roman" w:hAnsi="Times New Roman" w:cs="Times New Roman"/>
          <w:kern w:val="1"/>
          <w:sz w:val="28"/>
          <w:szCs w:val="28"/>
          <w:lang w:val="lv-LV" w:eastAsia="ar-SA"/>
        </w:rPr>
      </w:pPr>
      <w:r w:rsidRPr="004A1D98">
        <w:rPr>
          <w:rFonts w:ascii="Times New Roman" w:eastAsia="Times New Roman" w:hAnsi="Times New Roman" w:cs="Times New Roman"/>
          <w:kern w:val="1"/>
          <w:sz w:val="28"/>
          <w:szCs w:val="28"/>
          <w:lang w:val="lv-LV" w:eastAsia="ar-SA"/>
        </w:rPr>
        <w:t xml:space="preserve">Vides aizsardzības un reģionālās attīstības ministrs </w:t>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r>
      <w:r w:rsidRPr="004A1D98">
        <w:rPr>
          <w:rFonts w:ascii="Times New Roman" w:eastAsia="Times New Roman" w:hAnsi="Times New Roman" w:cs="Times New Roman"/>
          <w:kern w:val="1"/>
          <w:sz w:val="28"/>
          <w:szCs w:val="28"/>
          <w:lang w:val="lv-LV" w:eastAsia="ar-SA"/>
        </w:rPr>
        <w:tab/>
      </w:r>
      <w:r w:rsidR="00B64B25">
        <w:rPr>
          <w:rFonts w:ascii="Times New Roman" w:eastAsia="Times New Roman" w:hAnsi="Times New Roman" w:cs="Times New Roman"/>
          <w:kern w:val="1"/>
          <w:sz w:val="28"/>
          <w:szCs w:val="28"/>
          <w:lang w:val="lv-LV" w:eastAsia="ar-SA"/>
        </w:rPr>
        <w:t>A.T.Plešs</w:t>
      </w:r>
    </w:p>
    <w:p w14:paraId="4D8621CE" w14:textId="3709F001" w:rsidR="0071139C" w:rsidRPr="004A1D98" w:rsidRDefault="0071139C" w:rsidP="00426910">
      <w:pPr>
        <w:spacing w:after="0" w:line="293" w:lineRule="atLeast"/>
        <w:jc w:val="both"/>
        <w:rPr>
          <w:rFonts w:ascii="Times New Roman" w:eastAsia="Times New Roman" w:hAnsi="Times New Roman" w:cs="Times New Roman"/>
          <w:kern w:val="1"/>
          <w:sz w:val="28"/>
          <w:szCs w:val="28"/>
          <w:lang w:val="lv-LV" w:eastAsia="ar-SA"/>
        </w:rPr>
      </w:pPr>
    </w:p>
    <w:p w14:paraId="13491BE6" w14:textId="76C00F9B" w:rsidR="0071139C" w:rsidRPr="004A1D98" w:rsidRDefault="0071139C" w:rsidP="00426910">
      <w:pPr>
        <w:spacing w:after="0" w:line="293" w:lineRule="atLeast"/>
        <w:jc w:val="both"/>
        <w:rPr>
          <w:rFonts w:ascii="Times New Roman" w:eastAsia="Times New Roman" w:hAnsi="Times New Roman" w:cs="Times New Roman"/>
          <w:kern w:val="1"/>
          <w:sz w:val="28"/>
          <w:szCs w:val="28"/>
          <w:lang w:val="lv-LV" w:eastAsia="ar-SA"/>
        </w:rPr>
      </w:pPr>
    </w:p>
    <w:p w14:paraId="4123B155" w14:textId="77777777" w:rsidR="0071139C" w:rsidRPr="004A1D98" w:rsidRDefault="0071139C" w:rsidP="00426910">
      <w:pPr>
        <w:spacing w:after="0" w:line="293" w:lineRule="atLeast"/>
        <w:jc w:val="both"/>
        <w:rPr>
          <w:rFonts w:ascii="Times New Roman" w:eastAsia="Times New Roman" w:hAnsi="Times New Roman" w:cs="Times New Roman"/>
          <w:kern w:val="1"/>
          <w:sz w:val="28"/>
          <w:szCs w:val="28"/>
          <w:lang w:val="lv-LV" w:eastAsia="ar-SA"/>
        </w:rPr>
      </w:pPr>
    </w:p>
    <w:p w14:paraId="7BA686A9" w14:textId="3E88FBC1" w:rsidR="0071139C" w:rsidRPr="004A1D98" w:rsidRDefault="0071139C" w:rsidP="00426910">
      <w:pPr>
        <w:spacing w:after="0" w:line="293" w:lineRule="atLeast"/>
        <w:jc w:val="both"/>
        <w:rPr>
          <w:rFonts w:ascii="Times New Roman" w:eastAsia="Times New Roman" w:hAnsi="Times New Roman" w:cs="Times New Roman"/>
          <w:kern w:val="1"/>
          <w:sz w:val="28"/>
          <w:szCs w:val="28"/>
          <w:lang w:val="lv-LV" w:eastAsia="ar-SA"/>
        </w:rPr>
      </w:pPr>
    </w:p>
    <w:p w14:paraId="6317A32D" w14:textId="5408D6A2" w:rsidR="00C05845" w:rsidRPr="004A1D98" w:rsidRDefault="00C05845" w:rsidP="00426910">
      <w:pPr>
        <w:spacing w:after="0" w:line="293" w:lineRule="atLeast"/>
        <w:jc w:val="both"/>
        <w:rPr>
          <w:rFonts w:ascii="Times New Roman" w:hAnsi="Times New Roman" w:cs="Times New Roman"/>
          <w:sz w:val="28"/>
          <w:szCs w:val="28"/>
          <w:lang w:val="lv-LV"/>
        </w:rPr>
      </w:pPr>
    </w:p>
    <w:sectPr w:rsidR="00C05845" w:rsidRPr="004A1D98" w:rsidSect="00426910">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C535" w14:textId="77777777" w:rsidR="005B3497" w:rsidRDefault="005B3497" w:rsidP="00D71248">
      <w:pPr>
        <w:spacing w:after="0" w:line="240" w:lineRule="auto"/>
      </w:pPr>
      <w:r>
        <w:separator/>
      </w:r>
    </w:p>
  </w:endnote>
  <w:endnote w:type="continuationSeparator" w:id="0">
    <w:p w14:paraId="0CA3669E" w14:textId="77777777" w:rsidR="005B3497" w:rsidRDefault="005B3497" w:rsidP="00D7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venir Heavy">
    <w:altName w:val="Calibri"/>
    <w:charset w:val="4D"/>
    <w:family w:val="swiss"/>
    <w:pitch w:val="variable"/>
    <w:sig w:usb0="800000AF" w:usb1="5000204A" w:usb2="00000000" w:usb3="00000000" w:csb0="0000009B"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altName w:val="Times"/>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venir LT Std 55 Roman">
    <w:altName w:val="Times New Roman"/>
    <w:panose1 w:val="00000000000000000000"/>
    <w:charset w:val="00"/>
    <w:family w:val="swiss"/>
    <w:notTrueType/>
    <w:pitch w:val="variable"/>
    <w:sig w:usb0="800000AF" w:usb1="4000204A" w:usb2="00000000" w:usb3="00000000" w:csb0="00000001" w:csb1="00000000"/>
  </w:font>
  <w:font w:name="Avenir LT Std 45 Book">
    <w:altName w:val="Cambria"/>
    <w:panose1 w:val="00000000000000000000"/>
    <w:charset w:val="00"/>
    <w:family w:val="swiss"/>
    <w:notTrueType/>
    <w:pitch w:val="variable"/>
    <w:sig w:usb0="800000AF" w:usb1="4000204A" w:usb2="00000000" w:usb3="00000000" w:csb0="00000001" w:csb1="00000000"/>
  </w:font>
  <w:font w:name="Avenir">
    <w:altName w:val="Calibri"/>
    <w:panose1 w:val="00000000000000000000"/>
    <w:charset w:val="4D"/>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466390"/>
      <w:docPartObj>
        <w:docPartGallery w:val="Page Numbers (Bottom of Page)"/>
        <w:docPartUnique/>
      </w:docPartObj>
    </w:sdtPr>
    <w:sdtEndPr>
      <w:rPr>
        <w:noProof/>
      </w:rPr>
    </w:sdtEndPr>
    <w:sdtContent>
      <w:p w14:paraId="37D48F79" w14:textId="028D80A4" w:rsidR="004A1D98" w:rsidRDefault="004A1D98">
        <w:pPr>
          <w:pStyle w:val="Footer"/>
          <w:jc w:val="center"/>
        </w:pPr>
        <w:r>
          <w:fldChar w:fldCharType="begin"/>
        </w:r>
        <w:r>
          <w:instrText xml:space="preserve"> PAGE   \* MERGEFORMAT </w:instrText>
        </w:r>
        <w:r>
          <w:fldChar w:fldCharType="separate"/>
        </w:r>
        <w:r w:rsidR="00042433">
          <w:rPr>
            <w:noProof/>
          </w:rPr>
          <w:t>1</w:t>
        </w:r>
        <w:r>
          <w:rPr>
            <w:noProof/>
          </w:rPr>
          <w:fldChar w:fldCharType="end"/>
        </w:r>
      </w:p>
    </w:sdtContent>
  </w:sdt>
  <w:p w14:paraId="201ED297" w14:textId="027CB05C" w:rsidR="004A1D98" w:rsidRDefault="004A1D98">
    <w:pPr>
      <w:pStyle w:val="Footer"/>
    </w:pPr>
    <w:r w:rsidRPr="00FF0B8F">
      <w:rPr>
        <w:sz w:val="26"/>
        <w:szCs w:val="26"/>
      </w:rPr>
      <w:t>VARAMNot_</w:t>
    </w:r>
    <w:r w:rsidR="006370F4">
      <w:rPr>
        <w:sz w:val="26"/>
        <w:szCs w:val="26"/>
      </w:rPr>
      <w:t>2</w:t>
    </w:r>
    <w:r w:rsidR="005842C1">
      <w:rPr>
        <w:sz w:val="26"/>
        <w:szCs w:val="26"/>
      </w:rPr>
      <w:t>706</w:t>
    </w:r>
    <w:r w:rsidR="006370F4">
      <w:rPr>
        <w:sz w:val="26"/>
        <w:szCs w:val="26"/>
      </w:rPr>
      <w:t>2022</w:t>
    </w:r>
    <w:r w:rsidRPr="00FF0B8F">
      <w:rPr>
        <w:sz w:val="26"/>
        <w:szCs w:val="26"/>
      </w:rPr>
      <w:t>_groz353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0E964" w14:textId="77777777" w:rsidR="005B3497" w:rsidRDefault="005B3497" w:rsidP="00D71248">
      <w:pPr>
        <w:spacing w:after="0" w:line="240" w:lineRule="auto"/>
      </w:pPr>
      <w:r>
        <w:separator/>
      </w:r>
    </w:p>
  </w:footnote>
  <w:footnote w:type="continuationSeparator" w:id="0">
    <w:p w14:paraId="575017A7" w14:textId="77777777" w:rsidR="005B3497" w:rsidRDefault="005B3497" w:rsidP="00D71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6EC8" w14:textId="4D7C6251" w:rsidR="004A1D98" w:rsidRDefault="004A1D98">
    <w:pPr>
      <w:pStyle w:val="Header"/>
      <w:jc w:val="center"/>
    </w:pPr>
  </w:p>
  <w:p w14:paraId="194ACCCB" w14:textId="77777777" w:rsidR="004A1D98" w:rsidRDefault="004A1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22.6pt;height:26.3pt" o:bullet="t">
        <v:imagedata r:id="rId1" o:title="Gateway-and-partners-checkmark"/>
      </v:shape>
    </w:pict>
  </w:numPicBullet>
  <w:abstractNum w:abstractNumId="0" w15:restartNumberingAfterBreak="0">
    <w:nsid w:val="014A24A2"/>
    <w:multiLevelType w:val="hybridMultilevel"/>
    <w:tmpl w:val="44E44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71855"/>
    <w:multiLevelType w:val="multilevel"/>
    <w:tmpl w:val="7916E4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24F3BFF"/>
    <w:multiLevelType w:val="hybridMultilevel"/>
    <w:tmpl w:val="78C46716"/>
    <w:lvl w:ilvl="0" w:tplc="ACAA939E">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3A87A3C"/>
    <w:multiLevelType w:val="hybridMultilevel"/>
    <w:tmpl w:val="32E047A6"/>
    <w:lvl w:ilvl="0" w:tplc="4ABC8032">
      <w:start w:val="1"/>
      <w:numFmt w:val="bullet"/>
      <w:lvlText w:val=""/>
      <w:lvlJc w:val="left"/>
      <w:pPr>
        <w:ind w:left="1080" w:hanging="360"/>
      </w:pPr>
      <w:rPr>
        <w:rFonts w:ascii="Symbol" w:hAnsi="Symbol" w:hint="default"/>
      </w:rPr>
    </w:lvl>
    <w:lvl w:ilvl="1" w:tplc="A41C3242" w:tentative="1">
      <w:start w:val="1"/>
      <w:numFmt w:val="bullet"/>
      <w:lvlText w:val="o"/>
      <w:lvlJc w:val="left"/>
      <w:pPr>
        <w:ind w:left="1800" w:hanging="360"/>
      </w:pPr>
      <w:rPr>
        <w:rFonts w:ascii="Courier New" w:hAnsi="Courier New" w:cs="Courier New" w:hint="default"/>
      </w:rPr>
    </w:lvl>
    <w:lvl w:ilvl="2" w:tplc="6E3A3650" w:tentative="1">
      <w:start w:val="1"/>
      <w:numFmt w:val="bullet"/>
      <w:lvlText w:val=""/>
      <w:lvlJc w:val="left"/>
      <w:pPr>
        <w:ind w:left="2520" w:hanging="360"/>
      </w:pPr>
      <w:rPr>
        <w:rFonts w:ascii="Wingdings" w:hAnsi="Wingdings" w:hint="default"/>
      </w:rPr>
    </w:lvl>
    <w:lvl w:ilvl="3" w:tplc="2688AF38" w:tentative="1">
      <w:start w:val="1"/>
      <w:numFmt w:val="bullet"/>
      <w:lvlText w:val=""/>
      <w:lvlJc w:val="left"/>
      <w:pPr>
        <w:ind w:left="3240" w:hanging="360"/>
      </w:pPr>
      <w:rPr>
        <w:rFonts w:ascii="Symbol" w:hAnsi="Symbol" w:hint="default"/>
      </w:rPr>
    </w:lvl>
    <w:lvl w:ilvl="4" w:tplc="7A7422FC" w:tentative="1">
      <w:start w:val="1"/>
      <w:numFmt w:val="bullet"/>
      <w:lvlText w:val="o"/>
      <w:lvlJc w:val="left"/>
      <w:pPr>
        <w:ind w:left="3960" w:hanging="360"/>
      </w:pPr>
      <w:rPr>
        <w:rFonts w:ascii="Courier New" w:hAnsi="Courier New" w:cs="Courier New" w:hint="default"/>
      </w:rPr>
    </w:lvl>
    <w:lvl w:ilvl="5" w:tplc="9C90E528" w:tentative="1">
      <w:start w:val="1"/>
      <w:numFmt w:val="bullet"/>
      <w:lvlText w:val=""/>
      <w:lvlJc w:val="left"/>
      <w:pPr>
        <w:ind w:left="4680" w:hanging="360"/>
      </w:pPr>
      <w:rPr>
        <w:rFonts w:ascii="Wingdings" w:hAnsi="Wingdings" w:hint="default"/>
      </w:rPr>
    </w:lvl>
    <w:lvl w:ilvl="6" w:tplc="AB3CAE12" w:tentative="1">
      <w:start w:val="1"/>
      <w:numFmt w:val="bullet"/>
      <w:lvlText w:val=""/>
      <w:lvlJc w:val="left"/>
      <w:pPr>
        <w:ind w:left="5400" w:hanging="360"/>
      </w:pPr>
      <w:rPr>
        <w:rFonts w:ascii="Symbol" w:hAnsi="Symbol" w:hint="default"/>
      </w:rPr>
    </w:lvl>
    <w:lvl w:ilvl="7" w:tplc="65361E2C" w:tentative="1">
      <w:start w:val="1"/>
      <w:numFmt w:val="bullet"/>
      <w:lvlText w:val="o"/>
      <w:lvlJc w:val="left"/>
      <w:pPr>
        <w:ind w:left="6120" w:hanging="360"/>
      </w:pPr>
      <w:rPr>
        <w:rFonts w:ascii="Courier New" w:hAnsi="Courier New" w:cs="Courier New" w:hint="default"/>
      </w:rPr>
    </w:lvl>
    <w:lvl w:ilvl="8" w:tplc="D00C0F40" w:tentative="1">
      <w:start w:val="1"/>
      <w:numFmt w:val="bullet"/>
      <w:lvlText w:val=""/>
      <w:lvlJc w:val="left"/>
      <w:pPr>
        <w:ind w:left="6840" w:hanging="360"/>
      </w:pPr>
      <w:rPr>
        <w:rFonts w:ascii="Wingdings" w:hAnsi="Wingdings" w:hint="default"/>
      </w:rPr>
    </w:lvl>
  </w:abstractNum>
  <w:abstractNum w:abstractNumId="4" w15:restartNumberingAfterBreak="0">
    <w:nsid w:val="04C23F6D"/>
    <w:multiLevelType w:val="hybridMultilevel"/>
    <w:tmpl w:val="F84E4CD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7236912"/>
    <w:multiLevelType w:val="multilevel"/>
    <w:tmpl w:val="3FBEE10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8820927"/>
    <w:multiLevelType w:val="hybridMultilevel"/>
    <w:tmpl w:val="FDB6C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EE32F8"/>
    <w:multiLevelType w:val="hybridMultilevel"/>
    <w:tmpl w:val="18B8C0DC"/>
    <w:lvl w:ilvl="0" w:tplc="E222DC8A">
      <w:start w:val="1"/>
      <w:numFmt w:val="bullet"/>
      <w:lvlText w:val=""/>
      <w:lvlJc w:val="left"/>
      <w:pPr>
        <w:ind w:left="720" w:hanging="360"/>
      </w:pPr>
      <w:rPr>
        <w:rFonts w:ascii="Symbol" w:hAnsi="Symbol" w:hint="default"/>
      </w:rPr>
    </w:lvl>
    <w:lvl w:ilvl="1" w:tplc="2FB80DDE" w:tentative="1">
      <w:start w:val="1"/>
      <w:numFmt w:val="bullet"/>
      <w:lvlText w:val="o"/>
      <w:lvlJc w:val="left"/>
      <w:pPr>
        <w:ind w:left="1440" w:hanging="360"/>
      </w:pPr>
      <w:rPr>
        <w:rFonts w:ascii="Courier New" w:hAnsi="Courier New" w:cs="Courier New" w:hint="default"/>
      </w:rPr>
    </w:lvl>
    <w:lvl w:ilvl="2" w:tplc="63B819FC" w:tentative="1">
      <w:start w:val="1"/>
      <w:numFmt w:val="bullet"/>
      <w:lvlText w:val=""/>
      <w:lvlJc w:val="left"/>
      <w:pPr>
        <w:ind w:left="2160" w:hanging="360"/>
      </w:pPr>
      <w:rPr>
        <w:rFonts w:ascii="Wingdings" w:hAnsi="Wingdings" w:hint="default"/>
      </w:rPr>
    </w:lvl>
    <w:lvl w:ilvl="3" w:tplc="2996B51C" w:tentative="1">
      <w:start w:val="1"/>
      <w:numFmt w:val="bullet"/>
      <w:lvlText w:val=""/>
      <w:lvlJc w:val="left"/>
      <w:pPr>
        <w:ind w:left="2880" w:hanging="360"/>
      </w:pPr>
      <w:rPr>
        <w:rFonts w:ascii="Symbol" w:hAnsi="Symbol" w:hint="default"/>
      </w:rPr>
    </w:lvl>
    <w:lvl w:ilvl="4" w:tplc="666A65B2" w:tentative="1">
      <w:start w:val="1"/>
      <w:numFmt w:val="bullet"/>
      <w:lvlText w:val="o"/>
      <w:lvlJc w:val="left"/>
      <w:pPr>
        <w:ind w:left="3600" w:hanging="360"/>
      </w:pPr>
      <w:rPr>
        <w:rFonts w:ascii="Courier New" w:hAnsi="Courier New" w:cs="Courier New" w:hint="default"/>
      </w:rPr>
    </w:lvl>
    <w:lvl w:ilvl="5" w:tplc="B4B2B6C0" w:tentative="1">
      <w:start w:val="1"/>
      <w:numFmt w:val="bullet"/>
      <w:lvlText w:val=""/>
      <w:lvlJc w:val="left"/>
      <w:pPr>
        <w:ind w:left="4320" w:hanging="360"/>
      </w:pPr>
      <w:rPr>
        <w:rFonts w:ascii="Wingdings" w:hAnsi="Wingdings" w:hint="default"/>
      </w:rPr>
    </w:lvl>
    <w:lvl w:ilvl="6" w:tplc="984E72EC" w:tentative="1">
      <w:start w:val="1"/>
      <w:numFmt w:val="bullet"/>
      <w:lvlText w:val=""/>
      <w:lvlJc w:val="left"/>
      <w:pPr>
        <w:ind w:left="5040" w:hanging="360"/>
      </w:pPr>
      <w:rPr>
        <w:rFonts w:ascii="Symbol" w:hAnsi="Symbol" w:hint="default"/>
      </w:rPr>
    </w:lvl>
    <w:lvl w:ilvl="7" w:tplc="544C7DF2" w:tentative="1">
      <w:start w:val="1"/>
      <w:numFmt w:val="bullet"/>
      <w:lvlText w:val="o"/>
      <w:lvlJc w:val="left"/>
      <w:pPr>
        <w:ind w:left="5760" w:hanging="360"/>
      </w:pPr>
      <w:rPr>
        <w:rFonts w:ascii="Courier New" w:hAnsi="Courier New" w:cs="Courier New" w:hint="default"/>
      </w:rPr>
    </w:lvl>
    <w:lvl w:ilvl="8" w:tplc="2E6AE9F2" w:tentative="1">
      <w:start w:val="1"/>
      <w:numFmt w:val="bullet"/>
      <w:lvlText w:val=""/>
      <w:lvlJc w:val="left"/>
      <w:pPr>
        <w:ind w:left="6480" w:hanging="360"/>
      </w:pPr>
      <w:rPr>
        <w:rFonts w:ascii="Wingdings" w:hAnsi="Wingdings" w:hint="default"/>
      </w:rPr>
    </w:lvl>
  </w:abstractNum>
  <w:abstractNum w:abstractNumId="8" w15:restartNumberingAfterBreak="0">
    <w:nsid w:val="0DCC7C59"/>
    <w:multiLevelType w:val="multilevel"/>
    <w:tmpl w:val="65CE036E"/>
    <w:lvl w:ilvl="0">
      <w:start w:val="1"/>
      <w:numFmt w:val="decimal"/>
      <w:lvlText w:val="%1"/>
      <w:lvlJc w:val="left"/>
      <w:pPr>
        <w:ind w:left="375" w:hanging="375"/>
      </w:pPr>
      <w:rPr>
        <w:rFonts w:ascii="Times New Roman" w:hAnsi="Times New Roman" w:hint="default"/>
      </w:rPr>
    </w:lvl>
    <w:lvl w:ilvl="1">
      <w:start w:val="2"/>
      <w:numFmt w:val="decimal"/>
      <w:lvlText w:val="%1.%2"/>
      <w:lvlJc w:val="left"/>
      <w:pPr>
        <w:ind w:left="942" w:hanging="375"/>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9" w15:restartNumberingAfterBreak="0">
    <w:nsid w:val="10571AB4"/>
    <w:multiLevelType w:val="hybridMultilevel"/>
    <w:tmpl w:val="207EC950"/>
    <w:lvl w:ilvl="0" w:tplc="08090017">
      <w:start w:val="1"/>
      <w:numFmt w:val="lowerLetter"/>
      <w:lvlText w:val="%1)"/>
      <w:lvlJc w:val="left"/>
      <w:pPr>
        <w:ind w:left="1020" w:hanging="360"/>
      </w:p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0" w15:restartNumberingAfterBreak="0">
    <w:nsid w:val="122D6AD6"/>
    <w:multiLevelType w:val="multilevel"/>
    <w:tmpl w:val="F5127E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9B3FEA"/>
    <w:multiLevelType w:val="multilevel"/>
    <w:tmpl w:val="69AC744A"/>
    <w:lvl w:ilvl="0">
      <w:start w:val="1"/>
      <w:numFmt w:val="decimal"/>
      <w:lvlText w:val="%1."/>
      <w:lvlJc w:val="left"/>
      <w:pPr>
        <w:ind w:left="360" w:hanging="360"/>
      </w:pPr>
      <w:rPr>
        <w:b w:val="0"/>
      </w:rPr>
    </w:lvl>
    <w:lvl w:ilvl="1">
      <w:start w:val="1"/>
      <w:numFmt w:val="decimal"/>
      <w:lvlText w:val="%1.%2."/>
      <w:lvlJc w:val="left"/>
      <w:pPr>
        <w:ind w:left="1425" w:hanging="432"/>
      </w:pPr>
      <w:rPr>
        <w:b w:val="0"/>
        <w:sz w:val="24"/>
        <w:szCs w:val="24"/>
      </w:rPr>
    </w:lvl>
    <w:lvl w:ilvl="2">
      <w:start w:val="1"/>
      <w:numFmt w:val="decimal"/>
      <w:lvlText w:val="%1.%2.%3."/>
      <w:lvlJc w:val="left"/>
      <w:pPr>
        <w:ind w:left="2773" w:hanging="504"/>
      </w:pPr>
      <w:rPr>
        <w:b/>
        <w:sz w:val="24"/>
        <w:szCs w:val="24"/>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E06BFC"/>
    <w:multiLevelType w:val="hybridMultilevel"/>
    <w:tmpl w:val="54DE56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62D6F3C"/>
    <w:multiLevelType w:val="multilevel"/>
    <w:tmpl w:val="E260FB90"/>
    <w:lvl w:ilvl="0">
      <w:start w:val="1"/>
      <w:numFmt w:val="decimal"/>
      <w:lvlText w:val="%1."/>
      <w:lvlJc w:val="left"/>
      <w:pPr>
        <w:ind w:left="360" w:hanging="360"/>
      </w:pPr>
      <w:rPr>
        <w:rFonts w:hint="default"/>
        <w:sz w:val="22"/>
      </w:rPr>
    </w:lvl>
    <w:lvl w:ilvl="1">
      <w:start w:val="1"/>
      <w:numFmt w:val="decimal"/>
      <w:lvlText w:val="%1.%2."/>
      <w:lvlJc w:val="left"/>
      <w:pPr>
        <w:ind w:left="540" w:hanging="360"/>
      </w:pPr>
      <w:rPr>
        <w:rFonts w:hint="default"/>
        <w:sz w:val="24"/>
        <w:szCs w:val="24"/>
      </w:rPr>
    </w:lvl>
    <w:lvl w:ilvl="2">
      <w:start w:val="1"/>
      <w:numFmt w:val="decimal"/>
      <w:lvlText w:val="%1.%2.%3."/>
      <w:lvlJc w:val="left"/>
      <w:pPr>
        <w:ind w:left="1080" w:hanging="720"/>
      </w:pPr>
      <w:rPr>
        <w:rFonts w:hint="default"/>
        <w:sz w:val="22"/>
      </w:rPr>
    </w:lvl>
    <w:lvl w:ilvl="3">
      <w:start w:val="1"/>
      <w:numFmt w:val="decimal"/>
      <w:lvlText w:val="%1.%2.%3.%4."/>
      <w:lvlJc w:val="left"/>
      <w:pPr>
        <w:ind w:left="1260" w:hanging="720"/>
      </w:pPr>
      <w:rPr>
        <w:rFonts w:hint="default"/>
        <w:sz w:val="22"/>
      </w:rPr>
    </w:lvl>
    <w:lvl w:ilvl="4">
      <w:start w:val="1"/>
      <w:numFmt w:val="decimal"/>
      <w:lvlText w:val="%1.%2.%3.%4.%5."/>
      <w:lvlJc w:val="left"/>
      <w:pPr>
        <w:ind w:left="1800" w:hanging="1080"/>
      </w:pPr>
      <w:rPr>
        <w:rFonts w:hint="default"/>
        <w:sz w:val="22"/>
      </w:rPr>
    </w:lvl>
    <w:lvl w:ilvl="5">
      <w:start w:val="1"/>
      <w:numFmt w:val="decimal"/>
      <w:lvlText w:val="%1.%2.%3.%4.%5.%6."/>
      <w:lvlJc w:val="left"/>
      <w:pPr>
        <w:ind w:left="1980" w:hanging="1080"/>
      </w:pPr>
      <w:rPr>
        <w:rFonts w:hint="default"/>
        <w:sz w:val="22"/>
      </w:rPr>
    </w:lvl>
    <w:lvl w:ilvl="6">
      <w:start w:val="1"/>
      <w:numFmt w:val="decimal"/>
      <w:lvlText w:val="%1.%2.%3.%4.%5.%6.%7."/>
      <w:lvlJc w:val="left"/>
      <w:pPr>
        <w:ind w:left="2520" w:hanging="1440"/>
      </w:pPr>
      <w:rPr>
        <w:rFonts w:hint="default"/>
        <w:sz w:val="22"/>
      </w:rPr>
    </w:lvl>
    <w:lvl w:ilvl="7">
      <w:start w:val="1"/>
      <w:numFmt w:val="decimal"/>
      <w:lvlText w:val="%1.%2.%3.%4.%5.%6.%7.%8."/>
      <w:lvlJc w:val="left"/>
      <w:pPr>
        <w:ind w:left="2700" w:hanging="1440"/>
      </w:pPr>
      <w:rPr>
        <w:rFonts w:hint="default"/>
        <w:sz w:val="22"/>
      </w:rPr>
    </w:lvl>
    <w:lvl w:ilvl="8">
      <w:start w:val="1"/>
      <w:numFmt w:val="decimal"/>
      <w:lvlText w:val="%1.%2.%3.%4.%5.%6.%7.%8.%9."/>
      <w:lvlJc w:val="left"/>
      <w:pPr>
        <w:ind w:left="3240" w:hanging="1800"/>
      </w:pPr>
      <w:rPr>
        <w:rFonts w:hint="default"/>
        <w:sz w:val="22"/>
      </w:rPr>
    </w:lvl>
  </w:abstractNum>
  <w:abstractNum w:abstractNumId="14" w15:restartNumberingAfterBreak="0">
    <w:nsid w:val="165C05B3"/>
    <w:multiLevelType w:val="multilevel"/>
    <w:tmpl w:val="BC3CB9C8"/>
    <w:lvl w:ilvl="0">
      <w:start w:val="1"/>
      <w:numFmt w:val="decimal"/>
      <w:lvlText w:val="%1."/>
      <w:lvlJc w:val="left"/>
      <w:pPr>
        <w:ind w:left="425" w:hanging="360"/>
      </w:pPr>
      <w:rPr>
        <w:rFonts w:hint="default"/>
      </w:rPr>
    </w:lvl>
    <w:lvl w:ilvl="1">
      <w:start w:val="2"/>
      <w:numFmt w:val="decimal"/>
      <w:isLgl/>
      <w:lvlText w:val="%1.%2."/>
      <w:lvlJc w:val="left"/>
      <w:pPr>
        <w:ind w:left="1025" w:hanging="960"/>
      </w:pPr>
      <w:rPr>
        <w:rFonts w:hint="default"/>
      </w:rPr>
    </w:lvl>
    <w:lvl w:ilvl="2">
      <w:start w:val="3"/>
      <w:numFmt w:val="decimal"/>
      <w:isLgl/>
      <w:lvlText w:val="%1.%2.%3."/>
      <w:lvlJc w:val="left"/>
      <w:pPr>
        <w:ind w:left="1145" w:hanging="1080"/>
      </w:pPr>
      <w:rPr>
        <w:rFonts w:hint="default"/>
      </w:rPr>
    </w:lvl>
    <w:lvl w:ilvl="3">
      <w:start w:val="1"/>
      <w:numFmt w:val="decimal"/>
      <w:isLgl/>
      <w:lvlText w:val="%1.%2.%3.%4."/>
      <w:lvlJc w:val="left"/>
      <w:pPr>
        <w:ind w:left="1505" w:hanging="1440"/>
      </w:pPr>
      <w:rPr>
        <w:rFonts w:hint="default"/>
      </w:rPr>
    </w:lvl>
    <w:lvl w:ilvl="4">
      <w:start w:val="1"/>
      <w:numFmt w:val="decimal"/>
      <w:isLgl/>
      <w:lvlText w:val="%1.%2.%3.%4.%5."/>
      <w:lvlJc w:val="left"/>
      <w:pPr>
        <w:ind w:left="1865" w:hanging="1800"/>
      </w:pPr>
      <w:rPr>
        <w:rFonts w:hint="default"/>
      </w:rPr>
    </w:lvl>
    <w:lvl w:ilvl="5">
      <w:start w:val="1"/>
      <w:numFmt w:val="decimal"/>
      <w:isLgl/>
      <w:lvlText w:val="%1.%2.%3.%4.%5.%6."/>
      <w:lvlJc w:val="left"/>
      <w:pPr>
        <w:ind w:left="1865" w:hanging="1800"/>
      </w:pPr>
      <w:rPr>
        <w:rFonts w:hint="default"/>
      </w:rPr>
    </w:lvl>
    <w:lvl w:ilvl="6">
      <w:start w:val="1"/>
      <w:numFmt w:val="decimal"/>
      <w:isLgl/>
      <w:lvlText w:val="%1.%2.%3.%4.%5.%6.%7."/>
      <w:lvlJc w:val="left"/>
      <w:pPr>
        <w:ind w:left="2225" w:hanging="2160"/>
      </w:pPr>
      <w:rPr>
        <w:rFonts w:hint="default"/>
      </w:rPr>
    </w:lvl>
    <w:lvl w:ilvl="7">
      <w:start w:val="1"/>
      <w:numFmt w:val="decimal"/>
      <w:isLgl/>
      <w:lvlText w:val="%1.%2.%3.%4.%5.%6.%7.%8."/>
      <w:lvlJc w:val="left"/>
      <w:pPr>
        <w:ind w:left="2585" w:hanging="2520"/>
      </w:pPr>
      <w:rPr>
        <w:rFonts w:hint="default"/>
      </w:rPr>
    </w:lvl>
    <w:lvl w:ilvl="8">
      <w:start w:val="1"/>
      <w:numFmt w:val="decimal"/>
      <w:isLgl/>
      <w:lvlText w:val="%1.%2.%3.%4.%5.%6.%7.%8.%9."/>
      <w:lvlJc w:val="left"/>
      <w:pPr>
        <w:ind w:left="2945" w:hanging="2880"/>
      </w:pPr>
      <w:rPr>
        <w:rFonts w:hint="default"/>
      </w:rPr>
    </w:lvl>
  </w:abstractNum>
  <w:abstractNum w:abstractNumId="15" w15:restartNumberingAfterBreak="0">
    <w:nsid w:val="188C7A32"/>
    <w:multiLevelType w:val="hybridMultilevel"/>
    <w:tmpl w:val="65B08C90"/>
    <w:lvl w:ilvl="0" w:tplc="A33499E4">
      <w:start w:val="24"/>
      <w:numFmt w:val="bullet"/>
      <w:lvlText w:val="-"/>
      <w:lvlJc w:val="left"/>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9587D90"/>
    <w:multiLevelType w:val="hybridMultilevel"/>
    <w:tmpl w:val="2A0EB222"/>
    <w:lvl w:ilvl="0" w:tplc="781AEE9A">
      <w:start w:val="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9BC0952"/>
    <w:multiLevelType w:val="hybridMultilevel"/>
    <w:tmpl w:val="957895BA"/>
    <w:lvl w:ilvl="0" w:tplc="70143E1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A1C81574">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48FE9FB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C43475CA">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43A2F8F0">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9CDAF92C">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8E56DF6A">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97DAF744">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DD8104C">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8" w15:restartNumberingAfterBreak="0">
    <w:nsid w:val="1A573E3C"/>
    <w:multiLevelType w:val="hybridMultilevel"/>
    <w:tmpl w:val="759453C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1A624562"/>
    <w:multiLevelType w:val="multilevel"/>
    <w:tmpl w:val="026A11C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0" w15:restartNumberingAfterBreak="0">
    <w:nsid w:val="1AC93BC1"/>
    <w:multiLevelType w:val="multilevel"/>
    <w:tmpl w:val="2F2AA6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1C6A5234"/>
    <w:multiLevelType w:val="hybridMultilevel"/>
    <w:tmpl w:val="AE9C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C91460"/>
    <w:multiLevelType w:val="multilevel"/>
    <w:tmpl w:val="C83AEF2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E21187E"/>
    <w:multiLevelType w:val="multilevel"/>
    <w:tmpl w:val="AA945A5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4" w15:restartNumberingAfterBreak="0">
    <w:nsid w:val="1F8E3842"/>
    <w:multiLevelType w:val="hybridMultilevel"/>
    <w:tmpl w:val="07D4B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21A61F3C"/>
    <w:multiLevelType w:val="multilevel"/>
    <w:tmpl w:val="DBA6033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22677410"/>
    <w:multiLevelType w:val="multilevel"/>
    <w:tmpl w:val="6CA4682C"/>
    <w:lvl w:ilvl="0">
      <w:start w:val="1"/>
      <w:numFmt w:val="none"/>
      <w:lvlText w:val="%1"/>
      <w:lvlJc w:val="left"/>
      <w:pPr>
        <w:tabs>
          <w:tab w:val="num" w:pos="0"/>
        </w:tabs>
        <w:ind w:left="907" w:hanging="907"/>
      </w:pPr>
      <w:rPr>
        <w:rFonts w:hint="default"/>
      </w:rPr>
    </w:lvl>
    <w:lvl w:ilvl="1">
      <w:start w:val="1"/>
      <w:numFmt w:val="none"/>
      <w:pStyle w:val="Time"/>
      <w:suff w:val="nothing"/>
      <w:lvlText w:val=""/>
      <w:lvlJc w:val="left"/>
      <w:pPr>
        <w:ind w:left="1304" w:hanging="94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F955F7"/>
    <w:multiLevelType w:val="hybridMultilevel"/>
    <w:tmpl w:val="EA16D7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39C59FD"/>
    <w:multiLevelType w:val="multilevel"/>
    <w:tmpl w:val="10C6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8A4CC7"/>
    <w:multiLevelType w:val="multilevel"/>
    <w:tmpl w:val="75C22B1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0" w15:restartNumberingAfterBreak="0">
    <w:nsid w:val="28D00061"/>
    <w:multiLevelType w:val="hybridMultilevel"/>
    <w:tmpl w:val="D6A03CB4"/>
    <w:lvl w:ilvl="0" w:tplc="D1F6678E">
      <w:start w:val="1"/>
      <w:numFmt w:val="decimal"/>
      <w:lvlText w:val="%1."/>
      <w:lvlJc w:val="left"/>
      <w:pPr>
        <w:ind w:left="425" w:hanging="360"/>
      </w:pPr>
      <w:rPr>
        <w:rFonts w:hint="default"/>
      </w:rPr>
    </w:lvl>
    <w:lvl w:ilvl="1" w:tplc="14488BCA">
      <w:numFmt w:val="bullet"/>
      <w:lvlText w:val="•"/>
      <w:lvlJc w:val="left"/>
      <w:pPr>
        <w:ind w:left="1309" w:hanging="524"/>
      </w:pPr>
      <w:rPr>
        <w:rFonts w:ascii="Tahoma" w:eastAsia="Times New Roman" w:hAnsi="Tahoma" w:cs="Tahoma" w:hint="default"/>
      </w:rPr>
    </w:lvl>
    <w:lvl w:ilvl="2" w:tplc="0426001B" w:tentative="1">
      <w:start w:val="1"/>
      <w:numFmt w:val="lowerRoman"/>
      <w:lvlText w:val="%3."/>
      <w:lvlJc w:val="right"/>
      <w:pPr>
        <w:ind w:left="1865" w:hanging="180"/>
      </w:pPr>
    </w:lvl>
    <w:lvl w:ilvl="3" w:tplc="0426000F" w:tentative="1">
      <w:start w:val="1"/>
      <w:numFmt w:val="decimal"/>
      <w:lvlText w:val="%4."/>
      <w:lvlJc w:val="left"/>
      <w:pPr>
        <w:ind w:left="2585" w:hanging="360"/>
      </w:pPr>
    </w:lvl>
    <w:lvl w:ilvl="4" w:tplc="04260019" w:tentative="1">
      <w:start w:val="1"/>
      <w:numFmt w:val="lowerLetter"/>
      <w:lvlText w:val="%5."/>
      <w:lvlJc w:val="left"/>
      <w:pPr>
        <w:ind w:left="3305" w:hanging="360"/>
      </w:pPr>
    </w:lvl>
    <w:lvl w:ilvl="5" w:tplc="0426001B" w:tentative="1">
      <w:start w:val="1"/>
      <w:numFmt w:val="lowerRoman"/>
      <w:lvlText w:val="%6."/>
      <w:lvlJc w:val="right"/>
      <w:pPr>
        <w:ind w:left="4025" w:hanging="180"/>
      </w:pPr>
    </w:lvl>
    <w:lvl w:ilvl="6" w:tplc="0426000F" w:tentative="1">
      <w:start w:val="1"/>
      <w:numFmt w:val="decimal"/>
      <w:lvlText w:val="%7."/>
      <w:lvlJc w:val="left"/>
      <w:pPr>
        <w:ind w:left="4745" w:hanging="360"/>
      </w:pPr>
    </w:lvl>
    <w:lvl w:ilvl="7" w:tplc="04260019" w:tentative="1">
      <w:start w:val="1"/>
      <w:numFmt w:val="lowerLetter"/>
      <w:lvlText w:val="%8."/>
      <w:lvlJc w:val="left"/>
      <w:pPr>
        <w:ind w:left="5465" w:hanging="360"/>
      </w:pPr>
    </w:lvl>
    <w:lvl w:ilvl="8" w:tplc="0426001B" w:tentative="1">
      <w:start w:val="1"/>
      <w:numFmt w:val="lowerRoman"/>
      <w:lvlText w:val="%9."/>
      <w:lvlJc w:val="right"/>
      <w:pPr>
        <w:ind w:left="6185" w:hanging="180"/>
      </w:pPr>
    </w:lvl>
  </w:abstractNum>
  <w:abstractNum w:abstractNumId="31" w15:restartNumberingAfterBreak="0">
    <w:nsid w:val="29914813"/>
    <w:multiLevelType w:val="multilevel"/>
    <w:tmpl w:val="6B8417A4"/>
    <w:lvl w:ilvl="0">
      <w:start w:val="1"/>
      <w:numFmt w:val="decimal"/>
      <w:lvlText w:val="%1."/>
      <w:lvlJc w:val="left"/>
      <w:pPr>
        <w:ind w:left="723" w:hanging="360"/>
      </w:pPr>
      <w:rPr>
        <w:rFonts w:hint="default"/>
      </w:rPr>
    </w:lvl>
    <w:lvl w:ilvl="1">
      <w:start w:val="1"/>
      <w:numFmt w:val="decimal"/>
      <w:isLgl/>
      <w:lvlText w:val="%1.%2."/>
      <w:lvlJc w:val="left"/>
      <w:pPr>
        <w:ind w:left="1083" w:hanging="720"/>
      </w:pPr>
      <w:rPr>
        <w:rFonts w:hint="default"/>
      </w:rPr>
    </w:lvl>
    <w:lvl w:ilvl="2">
      <w:start w:val="1"/>
      <w:numFmt w:val="decimal"/>
      <w:isLgl/>
      <w:lvlText w:val="%1.%2.%3."/>
      <w:lvlJc w:val="left"/>
      <w:pPr>
        <w:ind w:left="1443" w:hanging="1080"/>
      </w:pPr>
      <w:rPr>
        <w:rFonts w:hint="default"/>
      </w:rPr>
    </w:lvl>
    <w:lvl w:ilvl="3">
      <w:start w:val="1"/>
      <w:numFmt w:val="decimal"/>
      <w:isLgl/>
      <w:lvlText w:val="%1.%2.%3.%4."/>
      <w:lvlJc w:val="left"/>
      <w:pPr>
        <w:ind w:left="1803" w:hanging="1440"/>
      </w:pPr>
      <w:rPr>
        <w:rFonts w:hint="default"/>
      </w:rPr>
    </w:lvl>
    <w:lvl w:ilvl="4">
      <w:start w:val="1"/>
      <w:numFmt w:val="decimal"/>
      <w:isLgl/>
      <w:lvlText w:val="%1.%2.%3.%4.%5."/>
      <w:lvlJc w:val="left"/>
      <w:pPr>
        <w:ind w:left="2163" w:hanging="1800"/>
      </w:pPr>
      <w:rPr>
        <w:rFonts w:hint="default"/>
      </w:rPr>
    </w:lvl>
    <w:lvl w:ilvl="5">
      <w:start w:val="1"/>
      <w:numFmt w:val="decimal"/>
      <w:isLgl/>
      <w:lvlText w:val="%1.%2.%3.%4.%5.%6."/>
      <w:lvlJc w:val="left"/>
      <w:pPr>
        <w:ind w:left="2163" w:hanging="1800"/>
      </w:pPr>
      <w:rPr>
        <w:rFonts w:hint="default"/>
      </w:rPr>
    </w:lvl>
    <w:lvl w:ilvl="6">
      <w:start w:val="1"/>
      <w:numFmt w:val="decimal"/>
      <w:isLgl/>
      <w:lvlText w:val="%1.%2.%3.%4.%5.%6.%7."/>
      <w:lvlJc w:val="left"/>
      <w:pPr>
        <w:ind w:left="2523" w:hanging="2160"/>
      </w:pPr>
      <w:rPr>
        <w:rFonts w:hint="default"/>
      </w:rPr>
    </w:lvl>
    <w:lvl w:ilvl="7">
      <w:start w:val="1"/>
      <w:numFmt w:val="decimal"/>
      <w:isLgl/>
      <w:lvlText w:val="%1.%2.%3.%4.%5.%6.%7.%8."/>
      <w:lvlJc w:val="left"/>
      <w:pPr>
        <w:ind w:left="2883" w:hanging="2520"/>
      </w:pPr>
      <w:rPr>
        <w:rFonts w:hint="default"/>
      </w:rPr>
    </w:lvl>
    <w:lvl w:ilvl="8">
      <w:start w:val="1"/>
      <w:numFmt w:val="decimal"/>
      <w:isLgl/>
      <w:lvlText w:val="%1.%2.%3.%4.%5.%6.%7.%8.%9."/>
      <w:lvlJc w:val="left"/>
      <w:pPr>
        <w:ind w:left="3243" w:hanging="2880"/>
      </w:pPr>
      <w:rPr>
        <w:rFonts w:hint="default"/>
      </w:rPr>
    </w:lvl>
  </w:abstractNum>
  <w:abstractNum w:abstractNumId="32" w15:restartNumberingAfterBreak="0">
    <w:nsid w:val="29D0455E"/>
    <w:multiLevelType w:val="multilevel"/>
    <w:tmpl w:val="E6C4703A"/>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2B6E54D5"/>
    <w:multiLevelType w:val="multilevel"/>
    <w:tmpl w:val="97A628F8"/>
    <w:lvl w:ilvl="0">
      <w:start w:val="1"/>
      <w:numFmt w:val="decimal"/>
      <w:lvlText w:val="%1."/>
      <w:lvlJc w:val="left"/>
      <w:pPr>
        <w:ind w:left="720" w:hanging="360"/>
      </w:pPr>
      <w:rPr>
        <w:rFonts w:ascii="Times New Roman" w:hAnsi="Times New Roman"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B935A2C"/>
    <w:multiLevelType w:val="multilevel"/>
    <w:tmpl w:val="12A470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2C0447EA"/>
    <w:multiLevelType w:val="hybridMultilevel"/>
    <w:tmpl w:val="2806D7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2D31787B"/>
    <w:multiLevelType w:val="multilevel"/>
    <w:tmpl w:val="0809001D"/>
    <w:styleLink w:val="Timebullet1"/>
    <w:lvl w:ilvl="0">
      <w:start w:val="1"/>
      <w:numFmt w:val="none"/>
      <w:lvlText w:val="%1"/>
      <w:lvlJc w:val="left"/>
      <w:pPr>
        <w:ind w:left="1080" w:hanging="360"/>
      </w:pPr>
      <w:rPr>
        <w:rFonts w:ascii="Avenir Heavy" w:hAnsi="Avenir Heavy" w:hint="default"/>
        <w:b w:val="0"/>
        <w:bCs/>
        <w:i w:val="0"/>
        <w:iCs w:val="0"/>
        <w:color w:val="595959" w:themeColor="text1" w:themeTint="A6"/>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E5E0F0D"/>
    <w:multiLevelType w:val="multilevel"/>
    <w:tmpl w:val="11D8F2D0"/>
    <w:lvl w:ilvl="0">
      <w:start w:val="2"/>
      <w:numFmt w:val="decimal"/>
      <w:lvlText w:val="%1"/>
      <w:lvlJc w:val="left"/>
      <w:pPr>
        <w:ind w:left="600" w:hanging="600"/>
      </w:pPr>
      <w:rPr>
        <w:rFonts w:ascii="Times New Roman" w:hAnsi="Times New Roman" w:hint="default"/>
      </w:rPr>
    </w:lvl>
    <w:lvl w:ilvl="1">
      <w:start w:val="1"/>
      <w:numFmt w:val="decimal"/>
      <w:lvlText w:val="%1.%2"/>
      <w:lvlJc w:val="left"/>
      <w:pPr>
        <w:ind w:left="1320" w:hanging="60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3240" w:hanging="108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5040" w:hanging="144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840" w:hanging="1800"/>
      </w:pPr>
      <w:rPr>
        <w:rFonts w:ascii="Times New Roman" w:hAnsi="Times New Roman" w:hint="default"/>
      </w:rPr>
    </w:lvl>
    <w:lvl w:ilvl="8">
      <w:start w:val="1"/>
      <w:numFmt w:val="decimal"/>
      <w:lvlText w:val="%1.%2.%3.%4.%5.%6.%7.%8.%9"/>
      <w:lvlJc w:val="left"/>
      <w:pPr>
        <w:ind w:left="7920" w:hanging="2160"/>
      </w:pPr>
      <w:rPr>
        <w:rFonts w:ascii="Times New Roman" w:hAnsi="Times New Roman" w:hint="default"/>
      </w:rPr>
    </w:lvl>
  </w:abstractNum>
  <w:abstractNum w:abstractNumId="38" w15:restartNumberingAfterBreak="0">
    <w:nsid w:val="2FE8161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07A7F48"/>
    <w:multiLevelType w:val="hybridMultilevel"/>
    <w:tmpl w:val="3A726FC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30C77F38"/>
    <w:multiLevelType w:val="hybridMultilevel"/>
    <w:tmpl w:val="ABF668FA"/>
    <w:lvl w:ilvl="0" w:tplc="4D7AD5A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0F73EB3"/>
    <w:multiLevelType w:val="hybridMultilevel"/>
    <w:tmpl w:val="1CB4A0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31A11809"/>
    <w:multiLevelType w:val="hybridMultilevel"/>
    <w:tmpl w:val="0ABAEBFC"/>
    <w:lvl w:ilvl="0" w:tplc="D4E28D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1FC3C86"/>
    <w:multiLevelType w:val="hybridMultilevel"/>
    <w:tmpl w:val="10EA564C"/>
    <w:lvl w:ilvl="0" w:tplc="AB2AE770">
      <w:start w:val="1"/>
      <w:numFmt w:val="decimal"/>
      <w:lvlText w:val="%1."/>
      <w:lvlJc w:val="left"/>
      <w:pPr>
        <w:ind w:left="720" w:hanging="360"/>
      </w:pPr>
      <w:rPr>
        <w:rFonts w:hint="default"/>
      </w:rPr>
    </w:lvl>
    <w:lvl w:ilvl="1" w:tplc="70E0CB5E" w:tentative="1">
      <w:start w:val="1"/>
      <w:numFmt w:val="lowerLetter"/>
      <w:lvlText w:val="%2."/>
      <w:lvlJc w:val="left"/>
      <w:pPr>
        <w:ind w:left="1440" w:hanging="360"/>
      </w:pPr>
    </w:lvl>
    <w:lvl w:ilvl="2" w:tplc="6E483B18" w:tentative="1">
      <w:start w:val="1"/>
      <w:numFmt w:val="lowerRoman"/>
      <w:lvlText w:val="%3."/>
      <w:lvlJc w:val="right"/>
      <w:pPr>
        <w:ind w:left="2160" w:hanging="180"/>
      </w:pPr>
    </w:lvl>
    <w:lvl w:ilvl="3" w:tplc="9B9E6CA8" w:tentative="1">
      <w:start w:val="1"/>
      <w:numFmt w:val="decimal"/>
      <w:lvlText w:val="%4."/>
      <w:lvlJc w:val="left"/>
      <w:pPr>
        <w:ind w:left="2880" w:hanging="360"/>
      </w:pPr>
    </w:lvl>
    <w:lvl w:ilvl="4" w:tplc="CF72C8AE" w:tentative="1">
      <w:start w:val="1"/>
      <w:numFmt w:val="lowerLetter"/>
      <w:lvlText w:val="%5."/>
      <w:lvlJc w:val="left"/>
      <w:pPr>
        <w:ind w:left="3600" w:hanging="360"/>
      </w:pPr>
    </w:lvl>
    <w:lvl w:ilvl="5" w:tplc="78AAA37E" w:tentative="1">
      <w:start w:val="1"/>
      <w:numFmt w:val="lowerRoman"/>
      <w:lvlText w:val="%6."/>
      <w:lvlJc w:val="right"/>
      <w:pPr>
        <w:ind w:left="4320" w:hanging="180"/>
      </w:pPr>
    </w:lvl>
    <w:lvl w:ilvl="6" w:tplc="8CD4388C" w:tentative="1">
      <w:start w:val="1"/>
      <w:numFmt w:val="decimal"/>
      <w:lvlText w:val="%7."/>
      <w:lvlJc w:val="left"/>
      <w:pPr>
        <w:ind w:left="5040" w:hanging="360"/>
      </w:pPr>
    </w:lvl>
    <w:lvl w:ilvl="7" w:tplc="E16CA774" w:tentative="1">
      <w:start w:val="1"/>
      <w:numFmt w:val="lowerLetter"/>
      <w:lvlText w:val="%8."/>
      <w:lvlJc w:val="left"/>
      <w:pPr>
        <w:ind w:left="5760" w:hanging="360"/>
      </w:pPr>
    </w:lvl>
    <w:lvl w:ilvl="8" w:tplc="807C84C6" w:tentative="1">
      <w:start w:val="1"/>
      <w:numFmt w:val="lowerRoman"/>
      <w:lvlText w:val="%9."/>
      <w:lvlJc w:val="right"/>
      <w:pPr>
        <w:ind w:left="6480" w:hanging="180"/>
      </w:pPr>
    </w:lvl>
  </w:abstractNum>
  <w:abstractNum w:abstractNumId="44" w15:restartNumberingAfterBreak="0">
    <w:nsid w:val="324E0F2F"/>
    <w:multiLevelType w:val="multilevel"/>
    <w:tmpl w:val="57E8B5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D31430"/>
    <w:multiLevelType w:val="hybridMultilevel"/>
    <w:tmpl w:val="53A20740"/>
    <w:lvl w:ilvl="0" w:tplc="8BA26506">
      <w:start w:val="14"/>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433AC3"/>
    <w:multiLevelType w:val="multilevel"/>
    <w:tmpl w:val="372AA0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7" w15:restartNumberingAfterBreak="0">
    <w:nsid w:val="35B5223E"/>
    <w:multiLevelType w:val="multilevel"/>
    <w:tmpl w:val="1E006E26"/>
    <w:lvl w:ilvl="0">
      <w:start w:val="3"/>
      <w:numFmt w:val="decimal"/>
      <w:lvlText w:val="%1."/>
      <w:lvlJc w:val="left"/>
      <w:pPr>
        <w:ind w:left="720" w:hanging="360"/>
      </w:pPr>
      <w:rPr>
        <w:rFonts w:ascii="Tahoma" w:hAnsi="Tahom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6DE3047"/>
    <w:multiLevelType w:val="hybridMultilevel"/>
    <w:tmpl w:val="AB02E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36FB004B"/>
    <w:multiLevelType w:val="multilevel"/>
    <w:tmpl w:val="420AEB68"/>
    <w:lvl w:ilvl="0">
      <w:start w:val="1"/>
      <w:numFmt w:val="decimal"/>
      <w:lvlText w:val="%1."/>
      <w:lvlJc w:val="left"/>
      <w:pPr>
        <w:ind w:left="360" w:hanging="360"/>
      </w:pPr>
      <w:rPr>
        <w:rFonts w:hint="default"/>
        <w:sz w:val="22"/>
      </w:rPr>
    </w:lvl>
    <w:lvl w:ilvl="1">
      <w:start w:val="1"/>
      <w:numFmt w:val="decimal"/>
      <w:lvlText w:val="%1.%2."/>
      <w:lvlJc w:val="left"/>
      <w:pPr>
        <w:ind w:left="1068" w:hanging="360"/>
      </w:pPr>
      <w:rPr>
        <w:rFonts w:ascii="Times New Roman" w:hAnsi="Times New Roman" w:cs="Times New Roman" w:hint="default"/>
        <w:sz w:val="28"/>
        <w:szCs w:val="28"/>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50" w15:restartNumberingAfterBreak="0">
    <w:nsid w:val="377B2219"/>
    <w:multiLevelType w:val="multilevel"/>
    <w:tmpl w:val="A2D2E76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1" w15:restartNumberingAfterBreak="0">
    <w:nsid w:val="383F0863"/>
    <w:multiLevelType w:val="multilevel"/>
    <w:tmpl w:val="E6804C6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397F7E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A7856C8"/>
    <w:multiLevelType w:val="multilevel"/>
    <w:tmpl w:val="21EE19D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4" w15:restartNumberingAfterBreak="0">
    <w:nsid w:val="3ACC6DC2"/>
    <w:multiLevelType w:val="multilevel"/>
    <w:tmpl w:val="CE38EC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3BA26546"/>
    <w:multiLevelType w:val="hybridMultilevel"/>
    <w:tmpl w:val="B6A0887A"/>
    <w:lvl w:ilvl="0" w:tplc="928EE514">
      <w:start w:val="4"/>
      <w:numFmt w:val="bullet"/>
      <w:lvlText w:val="-"/>
      <w:lvlJc w:val="left"/>
      <w:pPr>
        <w:ind w:left="927" w:hanging="360"/>
      </w:pPr>
      <w:rPr>
        <w:rFonts w:ascii="Calibri Light" w:eastAsiaTheme="minorHAnsi" w:hAnsi="Calibri Light" w:cs="Calibri Ligh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6" w15:restartNumberingAfterBreak="0">
    <w:nsid w:val="3BAA28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0024300"/>
    <w:multiLevelType w:val="hybridMultilevel"/>
    <w:tmpl w:val="9A78737A"/>
    <w:lvl w:ilvl="0" w:tplc="A7C6DC84">
      <w:start w:val="1"/>
      <w:numFmt w:val="bullet"/>
      <w:pStyle w:val="GPLis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025BE8"/>
    <w:multiLevelType w:val="hybridMultilevel"/>
    <w:tmpl w:val="397834C6"/>
    <w:lvl w:ilvl="0" w:tplc="4D7AD5A8">
      <w:start w:val="5"/>
      <w:numFmt w:val="bullet"/>
      <w:lvlText w:val="-"/>
      <w:lvlJc w:val="left"/>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42AD3A45"/>
    <w:multiLevelType w:val="hybridMultilevel"/>
    <w:tmpl w:val="6D44264A"/>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44400AC2"/>
    <w:multiLevelType w:val="multilevel"/>
    <w:tmpl w:val="6178B146"/>
    <w:lvl w:ilvl="0">
      <w:start w:val="1"/>
      <w:numFmt w:val="decimal"/>
      <w:lvlText w:val="%1."/>
      <w:lvlJc w:val="left"/>
      <w:pPr>
        <w:ind w:left="420" w:hanging="420"/>
      </w:pPr>
      <w:rPr>
        <w:rFonts w:hint="default"/>
      </w:rPr>
    </w:lvl>
    <w:lvl w:ilvl="1">
      <w:start w:val="1"/>
      <w:numFmt w:val="decimal"/>
      <w:lvlText w:val="%1.%2."/>
      <w:lvlJc w:val="left"/>
      <w:pPr>
        <w:ind w:left="1888" w:hanging="720"/>
      </w:pPr>
      <w:rPr>
        <w:rFonts w:hint="default"/>
        <w:color w:val="auto"/>
      </w:rPr>
    </w:lvl>
    <w:lvl w:ilvl="2">
      <w:start w:val="1"/>
      <w:numFmt w:val="decimal"/>
      <w:lvlText w:val="%1.%2.%3."/>
      <w:lvlJc w:val="left"/>
      <w:pPr>
        <w:ind w:left="3056" w:hanging="720"/>
      </w:pPr>
      <w:rPr>
        <w:rFonts w:hint="default"/>
      </w:rPr>
    </w:lvl>
    <w:lvl w:ilvl="3">
      <w:start w:val="1"/>
      <w:numFmt w:val="decimal"/>
      <w:lvlText w:val="%1.%2.%3.%4."/>
      <w:lvlJc w:val="left"/>
      <w:pPr>
        <w:ind w:left="4584" w:hanging="1080"/>
      </w:pPr>
      <w:rPr>
        <w:rFonts w:hint="default"/>
      </w:rPr>
    </w:lvl>
    <w:lvl w:ilvl="4">
      <w:start w:val="1"/>
      <w:numFmt w:val="decimal"/>
      <w:lvlText w:val="%1.%2.%3.%4.%5."/>
      <w:lvlJc w:val="left"/>
      <w:pPr>
        <w:ind w:left="5752" w:hanging="1080"/>
      </w:pPr>
      <w:rPr>
        <w:rFonts w:hint="default"/>
      </w:rPr>
    </w:lvl>
    <w:lvl w:ilvl="5">
      <w:start w:val="1"/>
      <w:numFmt w:val="decimal"/>
      <w:lvlText w:val="%1.%2.%3.%4.%5.%6."/>
      <w:lvlJc w:val="left"/>
      <w:pPr>
        <w:ind w:left="7280" w:hanging="1440"/>
      </w:pPr>
      <w:rPr>
        <w:rFonts w:hint="default"/>
      </w:rPr>
    </w:lvl>
    <w:lvl w:ilvl="6">
      <w:start w:val="1"/>
      <w:numFmt w:val="decimal"/>
      <w:lvlText w:val="%1.%2.%3.%4.%5.%6.%7."/>
      <w:lvlJc w:val="left"/>
      <w:pPr>
        <w:ind w:left="8808" w:hanging="1800"/>
      </w:pPr>
      <w:rPr>
        <w:rFonts w:hint="default"/>
      </w:rPr>
    </w:lvl>
    <w:lvl w:ilvl="7">
      <w:start w:val="1"/>
      <w:numFmt w:val="decimal"/>
      <w:lvlText w:val="%1.%2.%3.%4.%5.%6.%7.%8."/>
      <w:lvlJc w:val="left"/>
      <w:pPr>
        <w:ind w:left="9976" w:hanging="1800"/>
      </w:pPr>
      <w:rPr>
        <w:rFonts w:hint="default"/>
      </w:rPr>
    </w:lvl>
    <w:lvl w:ilvl="8">
      <w:start w:val="1"/>
      <w:numFmt w:val="decimal"/>
      <w:lvlText w:val="%1.%2.%3.%4.%5.%6.%7.%8.%9."/>
      <w:lvlJc w:val="left"/>
      <w:pPr>
        <w:ind w:left="11504" w:hanging="2160"/>
      </w:pPr>
      <w:rPr>
        <w:rFonts w:hint="default"/>
      </w:rPr>
    </w:lvl>
  </w:abstractNum>
  <w:abstractNum w:abstractNumId="61" w15:restartNumberingAfterBreak="0">
    <w:nsid w:val="448E2CD5"/>
    <w:multiLevelType w:val="hybridMultilevel"/>
    <w:tmpl w:val="CAC0ADE2"/>
    <w:lvl w:ilvl="0" w:tplc="918AEB8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2" w15:restartNumberingAfterBreak="0">
    <w:nsid w:val="44F53D7C"/>
    <w:multiLevelType w:val="multilevel"/>
    <w:tmpl w:val="085860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3" w15:restartNumberingAfterBreak="0">
    <w:nsid w:val="450C0E73"/>
    <w:multiLevelType w:val="hybridMultilevel"/>
    <w:tmpl w:val="04D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9200E5F"/>
    <w:multiLevelType w:val="hybridMultilevel"/>
    <w:tmpl w:val="EEA86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4B055243"/>
    <w:multiLevelType w:val="multilevel"/>
    <w:tmpl w:val="BA084B38"/>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Theme="minorEastAsia" w:hAnsi="Arial" w:cs="Arial" w:hint="default"/>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B210409"/>
    <w:multiLevelType w:val="multilevel"/>
    <w:tmpl w:val="DC3C7C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BAD766B"/>
    <w:multiLevelType w:val="hybridMultilevel"/>
    <w:tmpl w:val="57C48F94"/>
    <w:lvl w:ilvl="0" w:tplc="A33499E4">
      <w:start w:val="24"/>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8" w15:restartNumberingAfterBreak="0">
    <w:nsid w:val="4DEC12BB"/>
    <w:multiLevelType w:val="multilevel"/>
    <w:tmpl w:val="557285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51AD2EFD"/>
    <w:multiLevelType w:val="hybridMultilevel"/>
    <w:tmpl w:val="D884F2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0" w15:restartNumberingAfterBreak="0">
    <w:nsid w:val="53287574"/>
    <w:multiLevelType w:val="hybridMultilevel"/>
    <w:tmpl w:val="AADE8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6815D22"/>
    <w:multiLevelType w:val="multilevel"/>
    <w:tmpl w:val="6D525524"/>
    <w:lvl w:ilvl="0">
      <w:start w:val="3"/>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56E026B1"/>
    <w:multiLevelType w:val="hybridMultilevel"/>
    <w:tmpl w:val="E73EB360"/>
    <w:lvl w:ilvl="0" w:tplc="440024E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76D3F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8BC6F80"/>
    <w:multiLevelType w:val="hybridMultilevel"/>
    <w:tmpl w:val="AEAEE8A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5" w15:restartNumberingAfterBreak="0">
    <w:nsid w:val="5AA66E1B"/>
    <w:multiLevelType w:val="hybridMultilevel"/>
    <w:tmpl w:val="BDCE3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AB05E0D"/>
    <w:multiLevelType w:val="multilevel"/>
    <w:tmpl w:val="1DB0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455BE0"/>
    <w:multiLevelType w:val="hybridMultilevel"/>
    <w:tmpl w:val="F752A6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8" w15:restartNumberingAfterBreak="0">
    <w:nsid w:val="603D43CF"/>
    <w:multiLevelType w:val="hybridMultilevel"/>
    <w:tmpl w:val="7D0A4DEE"/>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9" w15:restartNumberingAfterBreak="0">
    <w:nsid w:val="614E2C9E"/>
    <w:multiLevelType w:val="hybridMultilevel"/>
    <w:tmpl w:val="CE3ED8C0"/>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0" w15:restartNumberingAfterBreak="0">
    <w:nsid w:val="61C4705B"/>
    <w:multiLevelType w:val="multilevel"/>
    <w:tmpl w:val="230A96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1" w15:restartNumberingAfterBreak="0">
    <w:nsid w:val="63E1079E"/>
    <w:multiLevelType w:val="multilevel"/>
    <w:tmpl w:val="D85E3CC6"/>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64B71BDC"/>
    <w:multiLevelType w:val="hybridMultilevel"/>
    <w:tmpl w:val="D518A5AA"/>
    <w:lvl w:ilvl="0" w:tplc="080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3" w15:restartNumberingAfterBreak="0">
    <w:nsid w:val="65360AAC"/>
    <w:multiLevelType w:val="hybridMultilevel"/>
    <w:tmpl w:val="84205D76"/>
    <w:lvl w:ilvl="0" w:tplc="0426000F">
      <w:start w:val="1"/>
      <w:numFmt w:val="decimal"/>
      <w:lvlText w:val="%1."/>
      <w:lvlJc w:val="left"/>
      <w:pPr>
        <w:ind w:left="720" w:hanging="360"/>
      </w:pPr>
      <w:rPr>
        <w:rFonts w:hint="default"/>
      </w:rPr>
    </w:lvl>
    <w:lvl w:ilvl="1" w:tplc="D818AC04">
      <w:start w:val="1"/>
      <w:numFmt w:val="decimal"/>
      <w:lvlText w:val="%2)"/>
      <w:lvlJc w:val="left"/>
      <w:pPr>
        <w:ind w:left="2505" w:hanging="1425"/>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64E119F"/>
    <w:multiLevelType w:val="multilevel"/>
    <w:tmpl w:val="F1FCE9A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pStyle w:val="Heading41"/>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5" w15:restartNumberingAfterBreak="0">
    <w:nsid w:val="672B2404"/>
    <w:multiLevelType w:val="multilevel"/>
    <w:tmpl w:val="CCCA02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6" w15:restartNumberingAfterBreak="0">
    <w:nsid w:val="67ED2B5C"/>
    <w:multiLevelType w:val="hybridMultilevel"/>
    <w:tmpl w:val="BD807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15:restartNumberingAfterBreak="0">
    <w:nsid w:val="69D726AB"/>
    <w:multiLevelType w:val="multilevel"/>
    <w:tmpl w:val="F2BA70C2"/>
    <w:lvl w:ilvl="0">
      <w:start w:val="1"/>
      <w:numFmt w:val="decimal"/>
      <w:lvlText w:val="%1."/>
      <w:lvlJc w:val="left"/>
      <w:pPr>
        <w:ind w:left="720" w:hanging="360"/>
      </w:pPr>
    </w:lvl>
    <w:lvl w:ilvl="1">
      <w:start w:val="1"/>
      <w:numFmt w:val="decimal"/>
      <w:isLgl/>
      <w:lvlText w:val="%1.%2."/>
      <w:lvlJc w:val="left"/>
      <w:pPr>
        <w:ind w:left="92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8" w15:restartNumberingAfterBreak="0">
    <w:nsid w:val="6A7724D7"/>
    <w:multiLevelType w:val="hybridMultilevel"/>
    <w:tmpl w:val="2264D2E2"/>
    <w:lvl w:ilvl="0" w:tplc="9C9EEDB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6D9F3184"/>
    <w:multiLevelType w:val="hybridMultilevel"/>
    <w:tmpl w:val="C4D01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6E806938"/>
    <w:multiLevelType w:val="multilevel"/>
    <w:tmpl w:val="96E8AB4E"/>
    <w:lvl w:ilvl="0">
      <w:start w:val="3"/>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707913A5"/>
    <w:multiLevelType w:val="multilevel"/>
    <w:tmpl w:val="C3A637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2" w15:restartNumberingAfterBreak="0">
    <w:nsid w:val="708A36B1"/>
    <w:multiLevelType w:val="hybridMultilevel"/>
    <w:tmpl w:val="DD9669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3" w15:restartNumberingAfterBreak="0">
    <w:nsid w:val="720A3A64"/>
    <w:multiLevelType w:val="hybridMultilevel"/>
    <w:tmpl w:val="50FAE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02325D"/>
    <w:multiLevelType w:val="hybridMultilevel"/>
    <w:tmpl w:val="07C0C10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5" w15:restartNumberingAfterBreak="0">
    <w:nsid w:val="75DB3272"/>
    <w:multiLevelType w:val="multilevel"/>
    <w:tmpl w:val="23D280E8"/>
    <w:lvl w:ilvl="0">
      <w:start w:val="1"/>
      <w:numFmt w:val="decimal"/>
      <w:lvlText w:val="%1."/>
      <w:lvlJc w:val="left"/>
      <w:pPr>
        <w:ind w:left="360" w:hanging="360"/>
      </w:pPr>
      <w:rPr>
        <w:rFonts w:hint="default"/>
        <w:sz w:val="22"/>
      </w:rPr>
    </w:lvl>
    <w:lvl w:ilvl="1">
      <w:start w:val="1"/>
      <w:numFmt w:val="decimal"/>
      <w:lvlText w:val="%1.%2."/>
      <w:lvlJc w:val="left"/>
      <w:pPr>
        <w:ind w:left="644" w:hanging="360"/>
      </w:pPr>
      <w:rPr>
        <w:rFonts w:hint="default"/>
        <w:sz w:val="24"/>
        <w:szCs w:val="24"/>
      </w:rPr>
    </w:lvl>
    <w:lvl w:ilvl="2">
      <w:start w:val="1"/>
      <w:numFmt w:val="decimal"/>
      <w:lvlText w:val="%1.%2.%3."/>
      <w:lvlJc w:val="left"/>
      <w:pPr>
        <w:ind w:left="788" w:hanging="720"/>
      </w:pPr>
      <w:rPr>
        <w:rFonts w:hint="default"/>
        <w:sz w:val="22"/>
      </w:rPr>
    </w:lvl>
    <w:lvl w:ilvl="3">
      <w:start w:val="1"/>
      <w:numFmt w:val="decimal"/>
      <w:lvlText w:val="%1.%2.%3.%4."/>
      <w:lvlJc w:val="left"/>
      <w:pPr>
        <w:ind w:left="822" w:hanging="720"/>
      </w:pPr>
      <w:rPr>
        <w:rFonts w:hint="default"/>
        <w:sz w:val="22"/>
      </w:rPr>
    </w:lvl>
    <w:lvl w:ilvl="4">
      <w:start w:val="1"/>
      <w:numFmt w:val="decimal"/>
      <w:lvlText w:val="%1.%2.%3.%4.%5."/>
      <w:lvlJc w:val="left"/>
      <w:pPr>
        <w:ind w:left="1216" w:hanging="1080"/>
      </w:pPr>
      <w:rPr>
        <w:rFonts w:hint="default"/>
        <w:sz w:val="22"/>
      </w:rPr>
    </w:lvl>
    <w:lvl w:ilvl="5">
      <w:start w:val="1"/>
      <w:numFmt w:val="decimal"/>
      <w:lvlText w:val="%1.%2.%3.%4.%5.%6."/>
      <w:lvlJc w:val="left"/>
      <w:pPr>
        <w:ind w:left="1250" w:hanging="1080"/>
      </w:pPr>
      <w:rPr>
        <w:rFonts w:hint="default"/>
        <w:sz w:val="22"/>
      </w:rPr>
    </w:lvl>
    <w:lvl w:ilvl="6">
      <w:start w:val="1"/>
      <w:numFmt w:val="decimal"/>
      <w:lvlText w:val="%1.%2.%3.%4.%5.%6.%7."/>
      <w:lvlJc w:val="left"/>
      <w:pPr>
        <w:ind w:left="1644" w:hanging="1440"/>
      </w:pPr>
      <w:rPr>
        <w:rFonts w:hint="default"/>
        <w:sz w:val="22"/>
      </w:rPr>
    </w:lvl>
    <w:lvl w:ilvl="7">
      <w:start w:val="1"/>
      <w:numFmt w:val="decimal"/>
      <w:lvlText w:val="%1.%2.%3.%4.%5.%6.%7.%8."/>
      <w:lvlJc w:val="left"/>
      <w:pPr>
        <w:ind w:left="1678" w:hanging="1440"/>
      </w:pPr>
      <w:rPr>
        <w:rFonts w:hint="default"/>
        <w:sz w:val="22"/>
      </w:rPr>
    </w:lvl>
    <w:lvl w:ilvl="8">
      <w:start w:val="1"/>
      <w:numFmt w:val="decimal"/>
      <w:lvlText w:val="%1.%2.%3.%4.%5.%6.%7.%8.%9."/>
      <w:lvlJc w:val="left"/>
      <w:pPr>
        <w:ind w:left="2072" w:hanging="1800"/>
      </w:pPr>
      <w:rPr>
        <w:rFonts w:hint="default"/>
        <w:sz w:val="22"/>
      </w:rPr>
    </w:lvl>
  </w:abstractNum>
  <w:abstractNum w:abstractNumId="96" w15:restartNumberingAfterBreak="0">
    <w:nsid w:val="77346B02"/>
    <w:multiLevelType w:val="multilevel"/>
    <w:tmpl w:val="633ED5E2"/>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7CA52D3"/>
    <w:multiLevelType w:val="hybridMultilevel"/>
    <w:tmpl w:val="31A6223C"/>
    <w:lvl w:ilvl="0" w:tplc="8BA26506">
      <w:start w:val="14"/>
      <w:numFmt w:val="bullet"/>
      <w:lvlText w:val="-"/>
      <w:lvlJc w:val="left"/>
      <w:pPr>
        <w:ind w:left="902" w:hanging="360"/>
      </w:pPr>
      <w:rPr>
        <w:rFonts w:ascii="Tahoma" w:eastAsia="Times New Roman" w:hAnsi="Tahoma" w:cs="Tahoma"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98" w15:restartNumberingAfterBreak="0">
    <w:nsid w:val="78AA5F09"/>
    <w:multiLevelType w:val="multilevel"/>
    <w:tmpl w:val="37A28B06"/>
    <w:lvl w:ilvl="0">
      <w:start w:val="5"/>
      <w:numFmt w:val="decimal"/>
      <w:lvlText w:val="%1."/>
      <w:lvlJc w:val="left"/>
      <w:pPr>
        <w:ind w:left="495" w:hanging="49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7A707F5A"/>
    <w:multiLevelType w:val="multilevel"/>
    <w:tmpl w:val="6784B136"/>
    <w:lvl w:ilvl="0">
      <w:start w:val="1"/>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100" w15:restartNumberingAfterBreak="0">
    <w:nsid w:val="7DC4102D"/>
    <w:multiLevelType w:val="hybridMultilevel"/>
    <w:tmpl w:val="87822458"/>
    <w:lvl w:ilvl="0" w:tplc="C5700DA8">
      <w:start w:val="1"/>
      <w:numFmt w:val="decimal"/>
      <w:lvlText w:val="%1)"/>
      <w:lvlJc w:val="left"/>
      <w:pPr>
        <w:ind w:left="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5DB0ABF2">
      <w:start w:val="1"/>
      <w:numFmt w:val="lowerLetter"/>
      <w:lvlText w:val="%2"/>
      <w:lvlJc w:val="left"/>
      <w:pPr>
        <w:ind w:left="11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10641DA0">
      <w:start w:val="1"/>
      <w:numFmt w:val="lowerRoman"/>
      <w:lvlText w:val="%3"/>
      <w:lvlJc w:val="left"/>
      <w:pPr>
        <w:ind w:left="18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0936B8FC">
      <w:start w:val="1"/>
      <w:numFmt w:val="decimal"/>
      <w:lvlText w:val="%4"/>
      <w:lvlJc w:val="left"/>
      <w:pPr>
        <w:ind w:left="25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F486EB4">
      <w:start w:val="1"/>
      <w:numFmt w:val="lowerLetter"/>
      <w:lvlText w:val="%5"/>
      <w:lvlJc w:val="left"/>
      <w:pPr>
        <w:ind w:left="326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F4026B8">
      <w:start w:val="1"/>
      <w:numFmt w:val="lowerRoman"/>
      <w:lvlText w:val="%6"/>
      <w:lvlJc w:val="left"/>
      <w:pPr>
        <w:ind w:left="398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DE420798">
      <w:start w:val="1"/>
      <w:numFmt w:val="decimal"/>
      <w:lvlText w:val="%7"/>
      <w:lvlJc w:val="left"/>
      <w:pPr>
        <w:ind w:left="470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A49C7E6A">
      <w:start w:val="1"/>
      <w:numFmt w:val="lowerLetter"/>
      <w:lvlText w:val="%8"/>
      <w:lvlJc w:val="left"/>
      <w:pPr>
        <w:ind w:left="542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3D4BF86">
      <w:start w:val="1"/>
      <w:numFmt w:val="lowerRoman"/>
      <w:lvlText w:val="%9"/>
      <w:lvlJc w:val="left"/>
      <w:pPr>
        <w:ind w:left="6148"/>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01" w15:restartNumberingAfterBreak="0">
    <w:nsid w:val="7DCF45C8"/>
    <w:multiLevelType w:val="multilevel"/>
    <w:tmpl w:val="B3A4365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2" w15:restartNumberingAfterBreak="0">
    <w:nsid w:val="7FFA5D8D"/>
    <w:multiLevelType w:val="hybridMultilevel"/>
    <w:tmpl w:val="B0369074"/>
    <w:lvl w:ilvl="0" w:tplc="4348A7A4">
      <w:start w:val="1"/>
      <w:numFmt w:val="decimal"/>
      <w:lvlText w:val="%1."/>
      <w:lvlJc w:val="left"/>
      <w:pPr>
        <w:ind w:left="1080" w:hanging="360"/>
      </w:pPr>
    </w:lvl>
    <w:lvl w:ilvl="1" w:tplc="1E3ADF0A">
      <w:start w:val="1"/>
      <w:numFmt w:val="decimal"/>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2096659911">
    <w:abstractNumId w:val="37"/>
  </w:num>
  <w:num w:numId="2" w16cid:durableId="1977560500">
    <w:abstractNumId w:val="51"/>
  </w:num>
  <w:num w:numId="3" w16cid:durableId="2063166496">
    <w:abstractNumId w:val="5"/>
  </w:num>
  <w:num w:numId="4" w16cid:durableId="157119693">
    <w:abstractNumId w:val="20"/>
  </w:num>
  <w:num w:numId="5" w16cid:durableId="1550654829">
    <w:abstractNumId w:val="53"/>
  </w:num>
  <w:num w:numId="6" w16cid:durableId="1484352172">
    <w:abstractNumId w:val="60"/>
  </w:num>
  <w:num w:numId="7" w16cid:durableId="869534277">
    <w:abstractNumId w:val="84"/>
  </w:num>
  <w:num w:numId="8" w16cid:durableId="1475027611">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996772">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85720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2221718">
    <w:abstractNumId w:val="47"/>
  </w:num>
  <w:num w:numId="12" w16cid:durableId="1070228123">
    <w:abstractNumId w:val="90"/>
  </w:num>
  <w:num w:numId="13" w16cid:durableId="805397324">
    <w:abstractNumId w:val="71"/>
  </w:num>
  <w:num w:numId="14" w16cid:durableId="896087440">
    <w:abstractNumId w:val="81"/>
  </w:num>
  <w:num w:numId="15" w16cid:durableId="1294675728">
    <w:abstractNumId w:val="98"/>
  </w:num>
  <w:num w:numId="16" w16cid:durableId="1849370291">
    <w:abstractNumId w:val="31"/>
  </w:num>
  <w:num w:numId="17" w16cid:durableId="991256057">
    <w:abstractNumId w:val="68"/>
  </w:num>
  <w:num w:numId="18" w16cid:durableId="711660603">
    <w:abstractNumId w:val="83"/>
  </w:num>
  <w:num w:numId="19" w16cid:durableId="515971438">
    <w:abstractNumId w:val="94"/>
  </w:num>
  <w:num w:numId="20" w16cid:durableId="539784923">
    <w:abstractNumId w:val="74"/>
  </w:num>
  <w:num w:numId="21" w16cid:durableId="1189950907">
    <w:abstractNumId w:val="92"/>
  </w:num>
  <w:num w:numId="22" w16cid:durableId="74714389">
    <w:abstractNumId w:val="63"/>
  </w:num>
  <w:num w:numId="23" w16cid:durableId="1694917409">
    <w:abstractNumId w:val="18"/>
  </w:num>
  <w:num w:numId="24" w16cid:durableId="1953784519">
    <w:abstractNumId w:val="30"/>
  </w:num>
  <w:num w:numId="25" w16cid:durableId="1809274539">
    <w:abstractNumId w:val="54"/>
  </w:num>
  <w:num w:numId="26" w16cid:durableId="115032655">
    <w:abstractNumId w:val="14"/>
  </w:num>
  <w:num w:numId="27" w16cid:durableId="1450008552">
    <w:abstractNumId w:val="89"/>
  </w:num>
  <w:num w:numId="28" w16cid:durableId="1202085943">
    <w:abstractNumId w:val="10"/>
  </w:num>
  <w:num w:numId="29" w16cid:durableId="1688824095">
    <w:abstractNumId w:val="6"/>
  </w:num>
  <w:num w:numId="30" w16cid:durableId="1813208663">
    <w:abstractNumId w:val="11"/>
  </w:num>
  <w:num w:numId="31" w16cid:durableId="1571309374">
    <w:abstractNumId w:val="19"/>
  </w:num>
  <w:num w:numId="32" w16cid:durableId="173494739">
    <w:abstractNumId w:val="62"/>
  </w:num>
  <w:num w:numId="33" w16cid:durableId="165413112">
    <w:abstractNumId w:val="80"/>
  </w:num>
  <w:num w:numId="34" w16cid:durableId="1889537310">
    <w:abstractNumId w:val="23"/>
  </w:num>
  <w:num w:numId="35" w16cid:durableId="1468350174">
    <w:abstractNumId w:val="1"/>
  </w:num>
  <w:num w:numId="36" w16cid:durableId="1702239265">
    <w:abstractNumId w:val="25"/>
  </w:num>
  <w:num w:numId="37" w16cid:durableId="1313683673">
    <w:abstractNumId w:val="32"/>
  </w:num>
  <w:num w:numId="38" w16cid:durableId="2091463416">
    <w:abstractNumId w:val="34"/>
  </w:num>
  <w:num w:numId="39" w16cid:durableId="1623145354">
    <w:abstractNumId w:val="85"/>
  </w:num>
  <w:num w:numId="40" w16cid:durableId="1224412670">
    <w:abstractNumId w:val="91"/>
  </w:num>
  <w:num w:numId="41" w16cid:durableId="713694727">
    <w:abstractNumId w:val="29"/>
  </w:num>
  <w:num w:numId="42" w16cid:durableId="12221459">
    <w:abstractNumId w:val="46"/>
  </w:num>
  <w:num w:numId="43" w16cid:durableId="1838688797">
    <w:abstractNumId w:val="101"/>
  </w:num>
  <w:num w:numId="44" w16cid:durableId="1986082666">
    <w:abstractNumId w:val="49"/>
  </w:num>
  <w:num w:numId="45" w16cid:durableId="384641960">
    <w:abstractNumId w:val="99"/>
  </w:num>
  <w:num w:numId="46" w16cid:durableId="385957575">
    <w:abstractNumId w:val="95"/>
  </w:num>
  <w:num w:numId="47" w16cid:durableId="1946036549">
    <w:abstractNumId w:val="13"/>
  </w:num>
  <w:num w:numId="48" w16cid:durableId="912932071">
    <w:abstractNumId w:val="66"/>
  </w:num>
  <w:num w:numId="49" w16cid:durableId="223876305">
    <w:abstractNumId w:val="33"/>
  </w:num>
  <w:num w:numId="50" w16cid:durableId="925530888">
    <w:abstractNumId w:val="3"/>
  </w:num>
  <w:num w:numId="51" w16cid:durableId="969437172">
    <w:abstractNumId w:val="28"/>
  </w:num>
  <w:num w:numId="52" w16cid:durableId="324091282">
    <w:abstractNumId w:val="65"/>
  </w:num>
  <w:num w:numId="53" w16cid:durableId="1639339085">
    <w:abstractNumId w:val="76"/>
  </w:num>
  <w:num w:numId="54" w16cid:durableId="953026273">
    <w:abstractNumId w:val="43"/>
  </w:num>
  <w:num w:numId="55" w16cid:durableId="1548445108">
    <w:abstractNumId w:val="44"/>
  </w:num>
  <w:num w:numId="56" w16cid:durableId="684747245">
    <w:abstractNumId w:val="7"/>
  </w:num>
  <w:num w:numId="57" w16cid:durableId="2112237576">
    <w:abstractNumId w:val="36"/>
  </w:num>
  <w:num w:numId="58" w16cid:durableId="1355114734">
    <w:abstractNumId w:val="26"/>
  </w:num>
  <w:num w:numId="59" w16cid:durableId="359624999">
    <w:abstractNumId w:val="57"/>
  </w:num>
  <w:num w:numId="60" w16cid:durableId="1298755161">
    <w:abstractNumId w:val="42"/>
  </w:num>
  <w:num w:numId="61" w16cid:durableId="1100494558">
    <w:abstractNumId w:val="97"/>
  </w:num>
  <w:num w:numId="62" w16cid:durableId="1467432640">
    <w:abstractNumId w:val="70"/>
  </w:num>
  <w:num w:numId="63" w16cid:durableId="828401333">
    <w:abstractNumId w:val="48"/>
  </w:num>
  <w:num w:numId="64" w16cid:durableId="566694698">
    <w:abstractNumId w:val="93"/>
  </w:num>
  <w:num w:numId="65" w16cid:durableId="2096900670">
    <w:abstractNumId w:val="96"/>
  </w:num>
  <w:num w:numId="66" w16cid:durableId="887179569">
    <w:abstractNumId w:val="21"/>
  </w:num>
  <w:num w:numId="67" w16cid:durableId="1624724683">
    <w:abstractNumId w:val="45"/>
  </w:num>
  <w:num w:numId="68" w16cid:durableId="1740901470">
    <w:abstractNumId w:val="22"/>
  </w:num>
  <w:num w:numId="69" w16cid:durableId="1284537599">
    <w:abstractNumId w:val="78"/>
  </w:num>
  <w:num w:numId="70" w16cid:durableId="151920102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324893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05579343">
    <w:abstractNumId w:val="61"/>
  </w:num>
  <w:num w:numId="73" w16cid:durableId="1232614126">
    <w:abstractNumId w:val="64"/>
  </w:num>
  <w:num w:numId="74" w16cid:durableId="1954284323">
    <w:abstractNumId w:val="82"/>
  </w:num>
  <w:num w:numId="75" w16cid:durableId="58866157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49075428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655226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932006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51128261">
    <w:abstractNumId w:val="39"/>
  </w:num>
  <w:num w:numId="80" w16cid:durableId="140584733">
    <w:abstractNumId w:val="79"/>
  </w:num>
  <w:num w:numId="81" w16cid:durableId="1758597143">
    <w:abstractNumId w:val="87"/>
  </w:num>
  <w:num w:numId="82" w16cid:durableId="222523164">
    <w:abstractNumId w:val="73"/>
  </w:num>
  <w:num w:numId="83" w16cid:durableId="344291440">
    <w:abstractNumId w:val="55"/>
  </w:num>
  <w:num w:numId="84" w16cid:durableId="1490906489">
    <w:abstractNumId w:val="100"/>
  </w:num>
  <w:num w:numId="85" w16cid:durableId="1805728577">
    <w:abstractNumId w:val="17"/>
  </w:num>
  <w:num w:numId="86" w16cid:durableId="1890069320">
    <w:abstractNumId w:val="2"/>
  </w:num>
  <w:num w:numId="87" w16cid:durableId="1856380098">
    <w:abstractNumId w:val="27"/>
  </w:num>
  <w:num w:numId="88" w16cid:durableId="1378578314">
    <w:abstractNumId w:val="12"/>
  </w:num>
  <w:num w:numId="89" w16cid:durableId="1670256213">
    <w:abstractNumId w:val="16"/>
  </w:num>
  <w:num w:numId="90" w16cid:durableId="651373710">
    <w:abstractNumId w:val="0"/>
  </w:num>
  <w:num w:numId="91" w16cid:durableId="521089352">
    <w:abstractNumId w:val="75"/>
  </w:num>
  <w:num w:numId="92" w16cid:durableId="1361661025">
    <w:abstractNumId w:val="40"/>
  </w:num>
  <w:num w:numId="93" w16cid:durableId="20356910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0757366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7356212">
    <w:abstractNumId w:val="58"/>
  </w:num>
  <w:num w:numId="96" w16cid:durableId="282076514">
    <w:abstractNumId w:val="4"/>
  </w:num>
  <w:num w:numId="97" w16cid:durableId="1796214135">
    <w:abstractNumId w:val="77"/>
  </w:num>
  <w:num w:numId="98" w16cid:durableId="226187005">
    <w:abstractNumId w:val="15"/>
  </w:num>
  <w:num w:numId="99" w16cid:durableId="1515876930">
    <w:abstractNumId w:val="67"/>
  </w:num>
  <w:num w:numId="100" w16cid:durableId="504714008">
    <w:abstractNumId w:val="59"/>
  </w:num>
  <w:num w:numId="101" w16cid:durableId="2143228910">
    <w:abstractNumId w:val="35"/>
  </w:num>
  <w:num w:numId="102" w16cid:durableId="1040398736">
    <w:abstractNumId w:val="41"/>
  </w:num>
  <w:num w:numId="103" w16cid:durableId="263539111">
    <w:abstractNumId w:val="69"/>
  </w:num>
  <w:num w:numId="104" w16cid:durableId="1473979164">
    <w:abstractNumId w:val="72"/>
  </w:num>
  <w:num w:numId="105" w16cid:durableId="1778057234">
    <w:abstractNumId w:val="9"/>
  </w:num>
  <w:num w:numId="106" w16cid:durableId="1890413927">
    <w:abstractNumId w:val="8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0DA"/>
    <w:rsid w:val="000022C8"/>
    <w:rsid w:val="00003078"/>
    <w:rsid w:val="00004DA8"/>
    <w:rsid w:val="00006401"/>
    <w:rsid w:val="0001009A"/>
    <w:rsid w:val="00014EA3"/>
    <w:rsid w:val="00016E13"/>
    <w:rsid w:val="0002177D"/>
    <w:rsid w:val="000220B7"/>
    <w:rsid w:val="000236C9"/>
    <w:rsid w:val="0002553D"/>
    <w:rsid w:val="00036893"/>
    <w:rsid w:val="00042433"/>
    <w:rsid w:val="000635FF"/>
    <w:rsid w:val="00081908"/>
    <w:rsid w:val="00090573"/>
    <w:rsid w:val="000A0708"/>
    <w:rsid w:val="000A7815"/>
    <w:rsid w:val="000B116E"/>
    <w:rsid w:val="000B65F9"/>
    <w:rsid w:val="000B711C"/>
    <w:rsid w:val="000C1BFE"/>
    <w:rsid w:val="000C3E97"/>
    <w:rsid w:val="000D3C33"/>
    <w:rsid w:val="000D67AB"/>
    <w:rsid w:val="000F573C"/>
    <w:rsid w:val="000F58B5"/>
    <w:rsid w:val="00110E06"/>
    <w:rsid w:val="0012066D"/>
    <w:rsid w:val="001262AD"/>
    <w:rsid w:val="00136A62"/>
    <w:rsid w:val="001371DC"/>
    <w:rsid w:val="00152CA1"/>
    <w:rsid w:val="0016112B"/>
    <w:rsid w:val="001679C9"/>
    <w:rsid w:val="00170A5F"/>
    <w:rsid w:val="00175BC5"/>
    <w:rsid w:val="0019669D"/>
    <w:rsid w:val="00197275"/>
    <w:rsid w:val="001A0F13"/>
    <w:rsid w:val="001A63CA"/>
    <w:rsid w:val="001B2551"/>
    <w:rsid w:val="001B2F97"/>
    <w:rsid w:val="001C0288"/>
    <w:rsid w:val="001C33EC"/>
    <w:rsid w:val="002006BB"/>
    <w:rsid w:val="00215A5E"/>
    <w:rsid w:val="00260BAD"/>
    <w:rsid w:val="00272DCB"/>
    <w:rsid w:val="00273BC7"/>
    <w:rsid w:val="0027460F"/>
    <w:rsid w:val="00282BF2"/>
    <w:rsid w:val="0029080A"/>
    <w:rsid w:val="002908D9"/>
    <w:rsid w:val="002A31DB"/>
    <w:rsid w:val="002A5D55"/>
    <w:rsid w:val="002A5FFD"/>
    <w:rsid w:val="002C66CF"/>
    <w:rsid w:val="002D1476"/>
    <w:rsid w:val="002D3731"/>
    <w:rsid w:val="002D4276"/>
    <w:rsid w:val="002D5E24"/>
    <w:rsid w:val="002F62CD"/>
    <w:rsid w:val="002F6302"/>
    <w:rsid w:val="002F7C0A"/>
    <w:rsid w:val="0030310A"/>
    <w:rsid w:val="00304B3D"/>
    <w:rsid w:val="00306DCB"/>
    <w:rsid w:val="00313007"/>
    <w:rsid w:val="00320DFB"/>
    <w:rsid w:val="003221AA"/>
    <w:rsid w:val="00327C8B"/>
    <w:rsid w:val="003325D3"/>
    <w:rsid w:val="00334405"/>
    <w:rsid w:val="00334785"/>
    <w:rsid w:val="0033678C"/>
    <w:rsid w:val="00343B2B"/>
    <w:rsid w:val="00346038"/>
    <w:rsid w:val="00354620"/>
    <w:rsid w:val="0036026F"/>
    <w:rsid w:val="0036344C"/>
    <w:rsid w:val="00364E97"/>
    <w:rsid w:val="00376869"/>
    <w:rsid w:val="00376F32"/>
    <w:rsid w:val="0038071E"/>
    <w:rsid w:val="00381B1C"/>
    <w:rsid w:val="003A27CE"/>
    <w:rsid w:val="003A2AF8"/>
    <w:rsid w:val="003A78A2"/>
    <w:rsid w:val="003B3BCF"/>
    <w:rsid w:val="003C1B1E"/>
    <w:rsid w:val="003C481F"/>
    <w:rsid w:val="003C64F8"/>
    <w:rsid w:val="003C68B2"/>
    <w:rsid w:val="003D4B91"/>
    <w:rsid w:val="003E1D9A"/>
    <w:rsid w:val="003E4449"/>
    <w:rsid w:val="003F304B"/>
    <w:rsid w:val="003F4FC0"/>
    <w:rsid w:val="004065AA"/>
    <w:rsid w:val="00407D58"/>
    <w:rsid w:val="00416ABC"/>
    <w:rsid w:val="0042037E"/>
    <w:rsid w:val="00420BA4"/>
    <w:rsid w:val="00421B41"/>
    <w:rsid w:val="00422389"/>
    <w:rsid w:val="00426910"/>
    <w:rsid w:val="004309AA"/>
    <w:rsid w:val="004317C7"/>
    <w:rsid w:val="00431B66"/>
    <w:rsid w:val="00433DCD"/>
    <w:rsid w:val="00435616"/>
    <w:rsid w:val="0045157D"/>
    <w:rsid w:val="0046787D"/>
    <w:rsid w:val="0047707F"/>
    <w:rsid w:val="0047727D"/>
    <w:rsid w:val="00485998"/>
    <w:rsid w:val="004936C7"/>
    <w:rsid w:val="004A1D98"/>
    <w:rsid w:val="004B065D"/>
    <w:rsid w:val="004B28EC"/>
    <w:rsid w:val="004B53E0"/>
    <w:rsid w:val="004C6C10"/>
    <w:rsid w:val="004D5791"/>
    <w:rsid w:val="004D7034"/>
    <w:rsid w:val="004E42FE"/>
    <w:rsid w:val="004E5FF4"/>
    <w:rsid w:val="004E655D"/>
    <w:rsid w:val="0050662D"/>
    <w:rsid w:val="0050738E"/>
    <w:rsid w:val="0050760E"/>
    <w:rsid w:val="00523F29"/>
    <w:rsid w:val="0053376C"/>
    <w:rsid w:val="00540425"/>
    <w:rsid w:val="00550E15"/>
    <w:rsid w:val="00551B69"/>
    <w:rsid w:val="00564C46"/>
    <w:rsid w:val="005842C1"/>
    <w:rsid w:val="0059214B"/>
    <w:rsid w:val="00595B12"/>
    <w:rsid w:val="00596F03"/>
    <w:rsid w:val="005A2240"/>
    <w:rsid w:val="005B1E3D"/>
    <w:rsid w:val="005B2B1A"/>
    <w:rsid w:val="005B3497"/>
    <w:rsid w:val="005C38F1"/>
    <w:rsid w:val="005C45DC"/>
    <w:rsid w:val="005C509C"/>
    <w:rsid w:val="005C50B2"/>
    <w:rsid w:val="005C6FA5"/>
    <w:rsid w:val="005C7155"/>
    <w:rsid w:val="005D33D3"/>
    <w:rsid w:val="005D60E6"/>
    <w:rsid w:val="005F1A97"/>
    <w:rsid w:val="005F7407"/>
    <w:rsid w:val="0061312F"/>
    <w:rsid w:val="00617F91"/>
    <w:rsid w:val="00622794"/>
    <w:rsid w:val="00623CE7"/>
    <w:rsid w:val="00624E9C"/>
    <w:rsid w:val="006279C0"/>
    <w:rsid w:val="00634E6F"/>
    <w:rsid w:val="006370F4"/>
    <w:rsid w:val="0063738D"/>
    <w:rsid w:val="00641034"/>
    <w:rsid w:val="006473EC"/>
    <w:rsid w:val="006560D0"/>
    <w:rsid w:val="00660F9C"/>
    <w:rsid w:val="00667C53"/>
    <w:rsid w:val="00667E4D"/>
    <w:rsid w:val="00670C13"/>
    <w:rsid w:val="00674FEC"/>
    <w:rsid w:val="006778DC"/>
    <w:rsid w:val="00677EEF"/>
    <w:rsid w:val="00691584"/>
    <w:rsid w:val="00695841"/>
    <w:rsid w:val="006A0E1D"/>
    <w:rsid w:val="006A16FA"/>
    <w:rsid w:val="006C0A6F"/>
    <w:rsid w:val="006C51D7"/>
    <w:rsid w:val="006C7B28"/>
    <w:rsid w:val="006D2B8F"/>
    <w:rsid w:val="006D3C5B"/>
    <w:rsid w:val="006E6369"/>
    <w:rsid w:val="006F566C"/>
    <w:rsid w:val="006F7743"/>
    <w:rsid w:val="0070192F"/>
    <w:rsid w:val="00704DC2"/>
    <w:rsid w:val="00706452"/>
    <w:rsid w:val="00710183"/>
    <w:rsid w:val="0071139C"/>
    <w:rsid w:val="00713167"/>
    <w:rsid w:val="00733177"/>
    <w:rsid w:val="007369E3"/>
    <w:rsid w:val="00747BBD"/>
    <w:rsid w:val="00763162"/>
    <w:rsid w:val="007635ED"/>
    <w:rsid w:val="007660A5"/>
    <w:rsid w:val="007670B0"/>
    <w:rsid w:val="00767FB9"/>
    <w:rsid w:val="00785F9F"/>
    <w:rsid w:val="00786E6F"/>
    <w:rsid w:val="007872ED"/>
    <w:rsid w:val="007D1C8A"/>
    <w:rsid w:val="007D2C09"/>
    <w:rsid w:val="007D5322"/>
    <w:rsid w:val="007D7AF0"/>
    <w:rsid w:val="00804C20"/>
    <w:rsid w:val="00807850"/>
    <w:rsid w:val="008250DA"/>
    <w:rsid w:val="00837B5D"/>
    <w:rsid w:val="008463A3"/>
    <w:rsid w:val="008473BE"/>
    <w:rsid w:val="00850F39"/>
    <w:rsid w:val="008523AE"/>
    <w:rsid w:val="00864348"/>
    <w:rsid w:val="008671F8"/>
    <w:rsid w:val="00871D08"/>
    <w:rsid w:val="008727A1"/>
    <w:rsid w:val="008A4892"/>
    <w:rsid w:val="008A5430"/>
    <w:rsid w:val="008B18F4"/>
    <w:rsid w:val="008B78ED"/>
    <w:rsid w:val="008C0A69"/>
    <w:rsid w:val="008D0F70"/>
    <w:rsid w:val="008D55EB"/>
    <w:rsid w:val="008E4D43"/>
    <w:rsid w:val="008E57D7"/>
    <w:rsid w:val="008F2F50"/>
    <w:rsid w:val="00903BF3"/>
    <w:rsid w:val="00911606"/>
    <w:rsid w:val="00921512"/>
    <w:rsid w:val="00942053"/>
    <w:rsid w:val="00954258"/>
    <w:rsid w:val="00967686"/>
    <w:rsid w:val="009720A8"/>
    <w:rsid w:val="009846DC"/>
    <w:rsid w:val="00993CFA"/>
    <w:rsid w:val="00994C08"/>
    <w:rsid w:val="00994F6B"/>
    <w:rsid w:val="009A3E92"/>
    <w:rsid w:val="009A551D"/>
    <w:rsid w:val="009B58F1"/>
    <w:rsid w:val="009B6069"/>
    <w:rsid w:val="009D16A7"/>
    <w:rsid w:val="009F62FF"/>
    <w:rsid w:val="00A02ADE"/>
    <w:rsid w:val="00A220F2"/>
    <w:rsid w:val="00A22A32"/>
    <w:rsid w:val="00A24DC8"/>
    <w:rsid w:val="00A3213F"/>
    <w:rsid w:val="00A42BAA"/>
    <w:rsid w:val="00A4509A"/>
    <w:rsid w:val="00A45B08"/>
    <w:rsid w:val="00A5255D"/>
    <w:rsid w:val="00A60A69"/>
    <w:rsid w:val="00A60FC1"/>
    <w:rsid w:val="00A66D9F"/>
    <w:rsid w:val="00A6733C"/>
    <w:rsid w:val="00A838DE"/>
    <w:rsid w:val="00A86FDB"/>
    <w:rsid w:val="00AA1622"/>
    <w:rsid w:val="00AA1DF0"/>
    <w:rsid w:val="00AB1BBF"/>
    <w:rsid w:val="00AB4C4F"/>
    <w:rsid w:val="00AC4C06"/>
    <w:rsid w:val="00AD6E0B"/>
    <w:rsid w:val="00AE1257"/>
    <w:rsid w:val="00B067B9"/>
    <w:rsid w:val="00B25DF2"/>
    <w:rsid w:val="00B35E1A"/>
    <w:rsid w:val="00B4211C"/>
    <w:rsid w:val="00B43693"/>
    <w:rsid w:val="00B611ED"/>
    <w:rsid w:val="00B63262"/>
    <w:rsid w:val="00B64B25"/>
    <w:rsid w:val="00B7103B"/>
    <w:rsid w:val="00B82827"/>
    <w:rsid w:val="00B8404C"/>
    <w:rsid w:val="00B978B8"/>
    <w:rsid w:val="00BA4220"/>
    <w:rsid w:val="00BA5C78"/>
    <w:rsid w:val="00BB522D"/>
    <w:rsid w:val="00BC79CC"/>
    <w:rsid w:val="00BD03F6"/>
    <w:rsid w:val="00BD492B"/>
    <w:rsid w:val="00BD5200"/>
    <w:rsid w:val="00BD52CC"/>
    <w:rsid w:val="00C019D4"/>
    <w:rsid w:val="00C05845"/>
    <w:rsid w:val="00C1384C"/>
    <w:rsid w:val="00C13E1F"/>
    <w:rsid w:val="00C20197"/>
    <w:rsid w:val="00C23A21"/>
    <w:rsid w:val="00C4107B"/>
    <w:rsid w:val="00C501D4"/>
    <w:rsid w:val="00C54477"/>
    <w:rsid w:val="00C574FD"/>
    <w:rsid w:val="00C67C7A"/>
    <w:rsid w:val="00C772FF"/>
    <w:rsid w:val="00C87D9F"/>
    <w:rsid w:val="00CA115D"/>
    <w:rsid w:val="00CA2A14"/>
    <w:rsid w:val="00CB091F"/>
    <w:rsid w:val="00CB2EE1"/>
    <w:rsid w:val="00CC08F2"/>
    <w:rsid w:val="00CE0ED4"/>
    <w:rsid w:val="00CE16E2"/>
    <w:rsid w:val="00CF2A0F"/>
    <w:rsid w:val="00CF53DF"/>
    <w:rsid w:val="00CF7072"/>
    <w:rsid w:val="00CF72AD"/>
    <w:rsid w:val="00D14769"/>
    <w:rsid w:val="00D16AF5"/>
    <w:rsid w:val="00D20B8B"/>
    <w:rsid w:val="00D21B99"/>
    <w:rsid w:val="00D23E91"/>
    <w:rsid w:val="00D25C38"/>
    <w:rsid w:val="00D323F0"/>
    <w:rsid w:val="00D43A23"/>
    <w:rsid w:val="00D43C33"/>
    <w:rsid w:val="00D54E39"/>
    <w:rsid w:val="00D56D00"/>
    <w:rsid w:val="00D60D67"/>
    <w:rsid w:val="00D6180C"/>
    <w:rsid w:val="00D6482D"/>
    <w:rsid w:val="00D66705"/>
    <w:rsid w:val="00D71248"/>
    <w:rsid w:val="00DA33A0"/>
    <w:rsid w:val="00DA7F53"/>
    <w:rsid w:val="00DB5031"/>
    <w:rsid w:val="00DB67CB"/>
    <w:rsid w:val="00DB69AC"/>
    <w:rsid w:val="00DC2F6B"/>
    <w:rsid w:val="00DD53D4"/>
    <w:rsid w:val="00DE0496"/>
    <w:rsid w:val="00DE26DA"/>
    <w:rsid w:val="00DE4376"/>
    <w:rsid w:val="00DE750E"/>
    <w:rsid w:val="00DF40C6"/>
    <w:rsid w:val="00DF45A9"/>
    <w:rsid w:val="00DF4A6E"/>
    <w:rsid w:val="00DF5A30"/>
    <w:rsid w:val="00E306FB"/>
    <w:rsid w:val="00E33FBC"/>
    <w:rsid w:val="00E340A7"/>
    <w:rsid w:val="00E40775"/>
    <w:rsid w:val="00E41596"/>
    <w:rsid w:val="00E45202"/>
    <w:rsid w:val="00E54821"/>
    <w:rsid w:val="00E55BCC"/>
    <w:rsid w:val="00E64454"/>
    <w:rsid w:val="00E65A4C"/>
    <w:rsid w:val="00E7231E"/>
    <w:rsid w:val="00E73572"/>
    <w:rsid w:val="00E8476D"/>
    <w:rsid w:val="00E900BF"/>
    <w:rsid w:val="00E9461C"/>
    <w:rsid w:val="00E946DF"/>
    <w:rsid w:val="00EA1909"/>
    <w:rsid w:val="00EA3E16"/>
    <w:rsid w:val="00EC5BAC"/>
    <w:rsid w:val="00ED3172"/>
    <w:rsid w:val="00EE4C2C"/>
    <w:rsid w:val="00EE5CE8"/>
    <w:rsid w:val="00EE5E6A"/>
    <w:rsid w:val="00EF0C16"/>
    <w:rsid w:val="00EF340C"/>
    <w:rsid w:val="00F07121"/>
    <w:rsid w:val="00F13174"/>
    <w:rsid w:val="00F179C4"/>
    <w:rsid w:val="00F22E52"/>
    <w:rsid w:val="00F33238"/>
    <w:rsid w:val="00F36190"/>
    <w:rsid w:val="00F37634"/>
    <w:rsid w:val="00F4168D"/>
    <w:rsid w:val="00F43C74"/>
    <w:rsid w:val="00F54ED8"/>
    <w:rsid w:val="00F576B1"/>
    <w:rsid w:val="00F63D62"/>
    <w:rsid w:val="00F653AD"/>
    <w:rsid w:val="00F70798"/>
    <w:rsid w:val="00F71C3B"/>
    <w:rsid w:val="00F727E8"/>
    <w:rsid w:val="00F728AC"/>
    <w:rsid w:val="00F72968"/>
    <w:rsid w:val="00F8277D"/>
    <w:rsid w:val="00F85109"/>
    <w:rsid w:val="00F933BA"/>
    <w:rsid w:val="00FA05BC"/>
    <w:rsid w:val="00FA58DB"/>
    <w:rsid w:val="00FA6628"/>
    <w:rsid w:val="00FB01E6"/>
    <w:rsid w:val="00FC7BD7"/>
    <w:rsid w:val="00FD133C"/>
    <w:rsid w:val="00FD4678"/>
    <w:rsid w:val="00FD6737"/>
    <w:rsid w:val="00FE6983"/>
    <w:rsid w:val="00FE7A1F"/>
    <w:rsid w:val="00FF2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A258"/>
  <w15:chartTrackingRefBased/>
  <w15:docId w15:val="{951D6727-8851-46E3-B4DE-8E6329D8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248"/>
    <w:pPr>
      <w:keepNext/>
      <w:keepLines/>
      <w:spacing w:before="240" w:after="0"/>
      <w:outlineLvl w:val="0"/>
    </w:pPr>
    <w:rPr>
      <w:rFonts w:eastAsia="MS Gothic" w:cs="Times New Roman"/>
      <w:b/>
      <w:sz w:val="28"/>
      <w:szCs w:val="32"/>
    </w:rPr>
  </w:style>
  <w:style w:type="paragraph" w:styleId="Heading2">
    <w:name w:val="heading 2"/>
    <w:basedOn w:val="Normal"/>
    <w:next w:val="Normal"/>
    <w:link w:val="Heading2Char"/>
    <w:uiPriority w:val="9"/>
    <w:qFormat/>
    <w:rsid w:val="00D71248"/>
    <w:pPr>
      <w:keepNext/>
      <w:keepLines/>
      <w:suppressAutoHyphens/>
      <w:autoSpaceDN w:val="0"/>
      <w:spacing w:before="200" w:after="0" w:line="240" w:lineRule="auto"/>
      <w:textAlignment w:val="baseline"/>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qFormat/>
    <w:rsid w:val="00D71248"/>
    <w:pPr>
      <w:keepNext/>
      <w:keepLines/>
      <w:suppressAutoHyphens/>
      <w:autoSpaceDN w:val="0"/>
      <w:spacing w:before="200" w:after="0" w:line="240" w:lineRule="auto"/>
      <w:textAlignment w:val="baseline"/>
      <w:outlineLvl w:val="2"/>
    </w:pPr>
    <w:rPr>
      <w:rFonts w:ascii="Calibri Light" w:eastAsia="Times New Roman" w:hAnsi="Calibri Light" w:cs="Times New Roman"/>
      <w:b/>
      <w:bCs/>
      <w:color w:val="5B9BD5"/>
      <w:sz w:val="24"/>
      <w:szCs w:val="24"/>
    </w:rPr>
  </w:style>
  <w:style w:type="paragraph" w:styleId="Heading4">
    <w:name w:val="heading 4"/>
    <w:basedOn w:val="Normal"/>
    <w:next w:val="Normal"/>
    <w:link w:val="Heading4Char"/>
    <w:uiPriority w:val="9"/>
    <w:unhideWhenUsed/>
    <w:qFormat/>
    <w:rsid w:val="00D71248"/>
    <w:pPr>
      <w:keepNext/>
      <w:keepLines/>
      <w:spacing w:before="40" w:after="0"/>
      <w:outlineLvl w:val="3"/>
    </w:pPr>
    <w:rPr>
      <w:rFonts w:ascii="Cambria" w:eastAsia="MS Gothic" w:hAnsi="Cambria" w:cs="Times New Roman"/>
      <w:i/>
      <w:iCs/>
      <w:color w:val="365F91"/>
      <w:sz w:val="24"/>
      <w:szCs w:val="24"/>
    </w:rPr>
  </w:style>
  <w:style w:type="paragraph" w:styleId="Heading5">
    <w:name w:val="heading 5"/>
    <w:basedOn w:val="Normal"/>
    <w:next w:val="Normal"/>
    <w:link w:val="Heading5Char"/>
    <w:uiPriority w:val="9"/>
    <w:unhideWhenUsed/>
    <w:qFormat/>
    <w:rsid w:val="000D67AB"/>
    <w:pPr>
      <w:keepNext/>
      <w:keepLines/>
      <w:spacing w:before="40" w:after="0" w:line="240" w:lineRule="auto"/>
      <w:outlineLvl w:val="4"/>
    </w:pPr>
    <w:rPr>
      <w:rFonts w:ascii="Calibri Light" w:eastAsia="Times New Roman" w:hAnsi="Calibri Light" w:cs="Times New Roman"/>
      <w:color w:val="44546A"/>
      <w:sz w:val="20"/>
      <w:szCs w:val="20"/>
      <w:lang w:val="lv-LV" w:eastAsia="lv-LV"/>
    </w:rPr>
  </w:style>
  <w:style w:type="paragraph" w:styleId="Heading6">
    <w:name w:val="heading 6"/>
    <w:basedOn w:val="Normal"/>
    <w:next w:val="Normal"/>
    <w:link w:val="Heading6Char"/>
    <w:uiPriority w:val="9"/>
    <w:semiHidden/>
    <w:unhideWhenUsed/>
    <w:qFormat/>
    <w:rsid w:val="000D67AB"/>
    <w:pPr>
      <w:keepNext/>
      <w:keepLines/>
      <w:spacing w:before="40" w:after="0" w:line="240" w:lineRule="auto"/>
      <w:outlineLvl w:val="5"/>
    </w:pPr>
    <w:rPr>
      <w:rFonts w:ascii="Calibri Light" w:eastAsia="Times New Roman" w:hAnsi="Calibri Light" w:cs="Times New Roman"/>
      <w:i/>
      <w:iCs/>
      <w:color w:val="44546A"/>
      <w:sz w:val="21"/>
      <w:szCs w:val="21"/>
      <w:lang w:val="lv-LV" w:eastAsia="lv-LV"/>
    </w:rPr>
  </w:style>
  <w:style w:type="paragraph" w:styleId="Heading7">
    <w:name w:val="heading 7"/>
    <w:basedOn w:val="Normal"/>
    <w:next w:val="Normal"/>
    <w:link w:val="Heading7Char"/>
    <w:uiPriority w:val="9"/>
    <w:semiHidden/>
    <w:unhideWhenUsed/>
    <w:qFormat/>
    <w:rsid w:val="000D67AB"/>
    <w:pPr>
      <w:keepNext/>
      <w:keepLines/>
      <w:spacing w:before="40" w:after="0" w:line="240" w:lineRule="auto"/>
      <w:outlineLvl w:val="6"/>
    </w:pPr>
    <w:rPr>
      <w:rFonts w:ascii="Calibri Light" w:eastAsia="Times New Roman" w:hAnsi="Calibri Light" w:cs="Times New Roman"/>
      <w:i/>
      <w:iCs/>
      <w:color w:val="1F3864"/>
      <w:sz w:val="21"/>
      <w:szCs w:val="21"/>
      <w:lang w:val="lv-LV" w:eastAsia="lv-LV"/>
    </w:rPr>
  </w:style>
  <w:style w:type="paragraph" w:styleId="Heading8">
    <w:name w:val="heading 8"/>
    <w:basedOn w:val="Normal"/>
    <w:next w:val="Normal"/>
    <w:link w:val="Heading8Char"/>
    <w:uiPriority w:val="9"/>
    <w:semiHidden/>
    <w:unhideWhenUsed/>
    <w:qFormat/>
    <w:rsid w:val="000D67AB"/>
    <w:pPr>
      <w:keepNext/>
      <w:keepLines/>
      <w:spacing w:before="40" w:after="0" w:line="240" w:lineRule="auto"/>
      <w:outlineLvl w:val="7"/>
    </w:pPr>
    <w:rPr>
      <w:rFonts w:ascii="Calibri Light" w:eastAsia="Times New Roman" w:hAnsi="Calibri Light" w:cs="Times New Roman"/>
      <w:b/>
      <w:bCs/>
      <w:color w:val="44546A"/>
      <w:sz w:val="20"/>
      <w:szCs w:val="20"/>
      <w:lang w:val="lv-LV" w:eastAsia="lv-LV"/>
    </w:rPr>
  </w:style>
  <w:style w:type="paragraph" w:styleId="Heading9">
    <w:name w:val="heading 9"/>
    <w:basedOn w:val="Normal"/>
    <w:next w:val="Normal"/>
    <w:link w:val="Heading9Char"/>
    <w:uiPriority w:val="9"/>
    <w:semiHidden/>
    <w:unhideWhenUsed/>
    <w:qFormat/>
    <w:rsid w:val="000D67AB"/>
    <w:pPr>
      <w:keepNext/>
      <w:keepLines/>
      <w:spacing w:before="40" w:after="0" w:line="240" w:lineRule="auto"/>
      <w:outlineLvl w:val="8"/>
    </w:pPr>
    <w:rPr>
      <w:rFonts w:ascii="Calibri Light" w:eastAsia="Times New Roman" w:hAnsi="Calibri Light" w:cs="Times New Roman"/>
      <w:b/>
      <w:bCs/>
      <w:i/>
      <w:iCs/>
      <w:color w:val="44546A"/>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F07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07121"/>
    <w:rPr>
      <w:rFonts w:ascii="Segoe UI" w:hAnsi="Segoe UI" w:cs="Segoe UI"/>
      <w:sz w:val="18"/>
      <w:szCs w:val="18"/>
    </w:rPr>
  </w:style>
  <w:style w:type="character" w:styleId="Hyperlink">
    <w:name w:val="Hyperlink"/>
    <w:basedOn w:val="DefaultParagraphFont"/>
    <w:uiPriority w:val="99"/>
    <w:unhideWhenUsed/>
    <w:rsid w:val="00F07121"/>
    <w:rPr>
      <w:color w:val="0563C1" w:themeColor="hyperlink"/>
      <w:u w:val="single"/>
    </w:rPr>
  </w:style>
  <w:style w:type="character" w:customStyle="1" w:styleId="UnresolvedMention1">
    <w:name w:val="Unresolved Mention1"/>
    <w:basedOn w:val="DefaultParagraphFont"/>
    <w:uiPriority w:val="99"/>
    <w:semiHidden/>
    <w:unhideWhenUsed/>
    <w:rsid w:val="00F07121"/>
    <w:rPr>
      <w:color w:val="605E5C"/>
      <w:shd w:val="clear" w:color="auto" w:fill="E1DFDD"/>
    </w:rPr>
  </w:style>
  <w:style w:type="paragraph" w:customStyle="1" w:styleId="Heading11">
    <w:name w:val="Heading 11"/>
    <w:basedOn w:val="Normal"/>
    <w:next w:val="Normal"/>
    <w:qFormat/>
    <w:rsid w:val="00D71248"/>
    <w:pPr>
      <w:keepNext/>
      <w:keepLines/>
      <w:spacing w:before="240" w:after="0" w:line="240" w:lineRule="auto"/>
      <w:jc w:val="center"/>
      <w:outlineLvl w:val="0"/>
    </w:pPr>
    <w:rPr>
      <w:rFonts w:ascii="Times New Roman" w:eastAsia="MS Gothic" w:hAnsi="Times New Roman" w:cs="Times New Roman"/>
      <w:b/>
      <w:sz w:val="28"/>
      <w:szCs w:val="32"/>
      <w:lang w:val="lv-LV" w:eastAsia="lv-LV"/>
    </w:rPr>
  </w:style>
  <w:style w:type="character" w:customStyle="1" w:styleId="Heading2Char">
    <w:name w:val="Heading 2 Char"/>
    <w:basedOn w:val="DefaultParagraphFont"/>
    <w:link w:val="Heading2"/>
    <w:uiPriority w:val="9"/>
    <w:rsid w:val="00D7124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D71248"/>
    <w:rPr>
      <w:rFonts w:ascii="Calibri Light" w:eastAsia="Times New Roman" w:hAnsi="Calibri Light" w:cs="Times New Roman"/>
      <w:b/>
      <w:bCs/>
      <w:color w:val="5B9BD5"/>
      <w:sz w:val="24"/>
      <w:szCs w:val="24"/>
    </w:rPr>
  </w:style>
  <w:style w:type="paragraph" w:customStyle="1" w:styleId="Heading41">
    <w:name w:val="Heading 41"/>
    <w:basedOn w:val="Normal"/>
    <w:next w:val="Normal"/>
    <w:uiPriority w:val="9"/>
    <w:unhideWhenUsed/>
    <w:qFormat/>
    <w:rsid w:val="00D71248"/>
    <w:pPr>
      <w:keepNext/>
      <w:keepLines/>
      <w:numPr>
        <w:ilvl w:val="3"/>
        <w:numId w:val="7"/>
      </w:numPr>
      <w:spacing w:before="40" w:after="0" w:line="240" w:lineRule="auto"/>
      <w:ind w:left="0" w:firstLine="0"/>
      <w:outlineLvl w:val="3"/>
    </w:pPr>
    <w:rPr>
      <w:rFonts w:ascii="Cambria" w:eastAsia="MS Gothic" w:hAnsi="Cambria" w:cs="Times New Roman"/>
      <w:i/>
      <w:iCs/>
      <w:color w:val="365F91"/>
      <w:sz w:val="24"/>
      <w:szCs w:val="24"/>
      <w:lang w:val="lv-LV" w:eastAsia="lv-LV"/>
    </w:rPr>
  </w:style>
  <w:style w:type="numbering" w:customStyle="1" w:styleId="NoList1">
    <w:name w:val="No List1"/>
    <w:next w:val="NoList"/>
    <w:uiPriority w:val="99"/>
    <w:semiHidden/>
    <w:unhideWhenUsed/>
    <w:rsid w:val="00D71248"/>
  </w:style>
  <w:style w:type="paragraph" w:customStyle="1" w:styleId="naisf">
    <w:name w:val="naisf"/>
    <w:basedOn w:val="Normal"/>
    <w:rsid w:val="00D71248"/>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Normal"/>
    <w:rsid w:val="00D71248"/>
    <w:pPr>
      <w:spacing w:before="450" w:after="225" w:line="240" w:lineRule="auto"/>
      <w:jc w:val="center"/>
    </w:pPr>
    <w:rPr>
      <w:rFonts w:ascii="Times New Roman" w:eastAsia="Times New Roman" w:hAnsi="Times New Roman" w:cs="Times New Roman"/>
      <w:b/>
      <w:bCs/>
      <w:sz w:val="24"/>
      <w:szCs w:val="24"/>
      <w:lang w:val="lv-LV" w:eastAsia="lv-LV"/>
    </w:rPr>
  </w:style>
  <w:style w:type="paragraph" w:customStyle="1" w:styleId="naislab">
    <w:name w:val="naislab"/>
    <w:basedOn w:val="Normal"/>
    <w:rsid w:val="00D71248"/>
    <w:pPr>
      <w:spacing w:before="75" w:after="75" w:line="240" w:lineRule="auto"/>
      <w:jc w:val="right"/>
    </w:pPr>
    <w:rPr>
      <w:rFonts w:ascii="Times New Roman" w:eastAsia="Times New Roman" w:hAnsi="Times New Roman" w:cs="Times New Roman"/>
      <w:sz w:val="24"/>
      <w:szCs w:val="24"/>
      <w:lang w:val="lv-LV" w:eastAsia="lv-LV"/>
    </w:rPr>
  </w:style>
  <w:style w:type="paragraph" w:customStyle="1" w:styleId="naiskr">
    <w:name w:val="naiskr"/>
    <w:basedOn w:val="Normal"/>
    <w:rsid w:val="00D71248"/>
    <w:pPr>
      <w:spacing w:before="75" w:after="75" w:line="240" w:lineRule="auto"/>
    </w:pPr>
    <w:rPr>
      <w:rFonts w:ascii="Times New Roman" w:eastAsia="Times New Roman" w:hAnsi="Times New Roman" w:cs="Times New Roman"/>
      <w:sz w:val="24"/>
      <w:szCs w:val="24"/>
      <w:lang w:val="lv-LV" w:eastAsia="lv-LV"/>
    </w:rPr>
  </w:style>
  <w:style w:type="paragraph" w:customStyle="1" w:styleId="naisc">
    <w:name w:val="naisc"/>
    <w:basedOn w:val="Normal"/>
    <w:rsid w:val="00D71248"/>
    <w:pPr>
      <w:spacing w:before="75" w:after="75" w:line="240" w:lineRule="auto"/>
      <w:jc w:val="center"/>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basedOn w:val="DefaultParagraphFont"/>
    <w:link w:val="Header"/>
    <w:uiPriority w:val="99"/>
    <w:rsid w:val="00D71248"/>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D71248"/>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FooterChar">
    <w:name w:val="Footer Char"/>
    <w:basedOn w:val="DefaultParagraphFont"/>
    <w:link w:val="Footer"/>
    <w:uiPriority w:val="99"/>
    <w:rsid w:val="00D71248"/>
    <w:rPr>
      <w:rFonts w:ascii="Times New Roman" w:eastAsia="Times New Roman" w:hAnsi="Times New Roman" w:cs="Times New Roman"/>
      <w:sz w:val="24"/>
      <w:szCs w:val="24"/>
      <w:lang w:val="lv-LV" w:eastAsia="lv-LV"/>
    </w:rPr>
  </w:style>
  <w:style w:type="character" w:styleId="PageNumber">
    <w:name w:val="page number"/>
    <w:basedOn w:val="DefaultParagraphFont"/>
    <w:rsid w:val="00D71248"/>
  </w:style>
  <w:style w:type="paragraph" w:customStyle="1" w:styleId="tv2131">
    <w:name w:val="tv2131"/>
    <w:basedOn w:val="Normal"/>
    <w:rsid w:val="00D71248"/>
    <w:pPr>
      <w:spacing w:before="240" w:after="0" w:line="360" w:lineRule="auto"/>
      <w:ind w:firstLine="259"/>
      <w:jc w:val="both"/>
    </w:pPr>
    <w:rPr>
      <w:rFonts w:ascii="Verdana" w:eastAsia="Times New Roman" w:hAnsi="Verdana" w:cs="Times New Roman"/>
      <w:sz w:val="16"/>
      <w:szCs w:val="16"/>
      <w:lang w:val="lv-LV"/>
    </w:rPr>
  </w:style>
  <w:style w:type="paragraph" w:customStyle="1" w:styleId="tv2161">
    <w:name w:val="tv2161"/>
    <w:basedOn w:val="Normal"/>
    <w:rsid w:val="00D71248"/>
    <w:pPr>
      <w:spacing w:before="240" w:after="0" w:line="360" w:lineRule="auto"/>
      <w:ind w:firstLine="259"/>
      <w:jc w:val="right"/>
    </w:pPr>
    <w:rPr>
      <w:rFonts w:ascii="Verdana" w:eastAsia="Times New Roman" w:hAnsi="Verdana" w:cs="Times New Roman"/>
      <w:sz w:val="16"/>
      <w:szCs w:val="16"/>
      <w:lang w:val="lv-LV"/>
    </w:rPr>
  </w:style>
  <w:style w:type="character" w:styleId="CommentReference">
    <w:name w:val="annotation reference"/>
    <w:uiPriority w:val="99"/>
    <w:rsid w:val="00D71248"/>
    <w:rPr>
      <w:sz w:val="16"/>
      <w:szCs w:val="16"/>
    </w:rPr>
  </w:style>
  <w:style w:type="paragraph" w:styleId="CommentText">
    <w:name w:val="annotation text"/>
    <w:basedOn w:val="Normal"/>
    <w:link w:val="CommentTextChar"/>
    <w:uiPriority w:val="99"/>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D7124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rsid w:val="00D71248"/>
    <w:rPr>
      <w:b/>
      <w:bCs/>
    </w:rPr>
  </w:style>
  <w:style w:type="character" w:customStyle="1" w:styleId="CommentSubjectChar">
    <w:name w:val="Comment Subject Char"/>
    <w:basedOn w:val="CommentTextChar"/>
    <w:link w:val="CommentSubject"/>
    <w:uiPriority w:val="99"/>
    <w:rsid w:val="00D71248"/>
    <w:rPr>
      <w:rFonts w:ascii="Times New Roman" w:eastAsia="Times New Roman" w:hAnsi="Times New Roman" w:cs="Times New Roman"/>
      <w:b/>
      <w:bCs/>
      <w:sz w:val="20"/>
      <w:szCs w:val="20"/>
      <w:lang w:val="lv-LV" w:eastAsia="lv-LV"/>
    </w:rPr>
  </w:style>
  <w:style w:type="numbering" w:customStyle="1" w:styleId="NoList11">
    <w:name w:val="No List11"/>
    <w:next w:val="NoList"/>
    <w:uiPriority w:val="99"/>
    <w:semiHidden/>
    <w:unhideWhenUsed/>
    <w:rsid w:val="00D71248"/>
  </w:style>
  <w:style w:type="paragraph" w:styleId="NormalWeb">
    <w:name w:val="Normal (Web)"/>
    <w:basedOn w:val="Normal"/>
    <w:rsid w:val="00D71248"/>
    <w:pPr>
      <w:suppressAutoHyphens/>
      <w:autoSpaceDN w:val="0"/>
      <w:spacing w:before="100" w:after="100" w:line="240" w:lineRule="auto"/>
      <w:textAlignment w:val="baseline"/>
    </w:pPr>
    <w:rPr>
      <w:rFonts w:ascii="Times" w:eastAsia="Times New Roman" w:hAnsi="Times" w:cs="Times New Roman"/>
      <w:sz w:val="20"/>
      <w:szCs w:val="20"/>
      <w:lang w:eastAsia="ja-JP"/>
    </w:rPr>
  </w:style>
  <w:style w:type="paragraph" w:customStyle="1" w:styleId="tv213">
    <w:name w:val="tv213"/>
    <w:basedOn w:val="Normal"/>
    <w:rsid w:val="00D71248"/>
    <w:pPr>
      <w:suppressAutoHyphens/>
      <w:autoSpaceDN w:val="0"/>
      <w:spacing w:before="100" w:after="100" w:line="240" w:lineRule="auto"/>
      <w:textAlignment w:val="baseline"/>
    </w:pPr>
    <w:rPr>
      <w:rFonts w:ascii="Times New Roman" w:eastAsia="Times New Roman" w:hAnsi="Times New Roman" w:cs="Times New Roman"/>
      <w:sz w:val="24"/>
      <w:szCs w:val="24"/>
      <w:lang w:eastAsia="ja-JP"/>
    </w:rPr>
  </w:style>
  <w:style w:type="paragraph" w:styleId="ListParagraph">
    <w:name w:val="List Paragraph"/>
    <w:aliases w:val="Syle 1,Strip,H&amp;P List Paragraph,2,Virsraksti,Normal bullet 2,Bullet list,Numbered Para 1,Dot pt,No Spacing1,List Paragraph Char Char Char,Indicator Text,List Paragraph1,Bullet Points,MAIN CONTENT,IFCL - List Paragraph,List Paragraph12"/>
    <w:basedOn w:val="Normal"/>
    <w:uiPriority w:val="34"/>
    <w:qFormat/>
    <w:rsid w:val="00D71248"/>
    <w:pPr>
      <w:suppressAutoHyphens/>
      <w:autoSpaceDN w:val="0"/>
      <w:spacing w:after="0" w:line="240" w:lineRule="auto"/>
      <w:ind w:left="720"/>
      <w:textAlignment w:val="baseline"/>
    </w:pPr>
    <w:rPr>
      <w:rFonts w:ascii="Calibri" w:eastAsia="Times New Roman" w:hAnsi="Calibri" w:cs="Times New Roman"/>
      <w:sz w:val="24"/>
      <w:szCs w:val="24"/>
      <w:lang w:eastAsia="ja-JP"/>
    </w:rPr>
  </w:style>
  <w:style w:type="character" w:customStyle="1" w:styleId="ListParagraphChar">
    <w:name w:val="List Paragraph Char"/>
    <w:aliases w:val="Syle 1 Char,Strip Char,H&amp;P List Paragraph Char,2 Char,Virsraksti Char,Normal bullet 2 Char,Bullet list Char,Numbered Para 1 Char,Dot pt Char,No Spacing1 Char,List Paragraph Char Char Char Char,Indicator Text Char,List Paragraph1 Char"/>
    <w:uiPriority w:val="34"/>
    <w:qFormat/>
    <w:rsid w:val="00D71248"/>
    <w:rPr>
      <w:rFonts w:eastAsia="Times New Roman"/>
      <w:sz w:val="24"/>
      <w:szCs w:val="24"/>
      <w:lang w:val="en-US" w:eastAsia="ja-JP"/>
    </w:rPr>
  </w:style>
  <w:style w:type="paragraph" w:styleId="Revision">
    <w:name w:val="Revision"/>
    <w:uiPriority w:val="99"/>
    <w:rsid w:val="00D71248"/>
    <w:pPr>
      <w:suppressAutoHyphens/>
      <w:autoSpaceDN w:val="0"/>
      <w:spacing w:after="0" w:line="240" w:lineRule="auto"/>
      <w:textAlignment w:val="baseline"/>
    </w:pPr>
    <w:rPr>
      <w:rFonts w:ascii="Calibri" w:eastAsia="Times New Roman" w:hAnsi="Calibri" w:cs="Times New Roman"/>
      <w:sz w:val="24"/>
      <w:szCs w:val="24"/>
      <w:lang w:eastAsia="ja-JP"/>
    </w:rPr>
  </w:style>
  <w:style w:type="character" w:styleId="Strong">
    <w:name w:val="Strong"/>
    <w:basedOn w:val="DefaultParagraphFont"/>
    <w:uiPriority w:val="22"/>
    <w:qFormat/>
    <w:rsid w:val="00D71248"/>
    <w:rPr>
      <w:b/>
      <w:bCs/>
    </w:rPr>
  </w:style>
  <w:style w:type="character" w:styleId="Emphasis">
    <w:name w:val="Emphasis"/>
    <w:uiPriority w:val="20"/>
    <w:qFormat/>
    <w:rsid w:val="00D71248"/>
    <w:rPr>
      <w:rFonts w:cs="Times New Roman"/>
      <w:i/>
      <w:iCs/>
    </w:rPr>
  </w:style>
  <w:style w:type="character" w:customStyle="1" w:styleId="FollowedHyperlink1">
    <w:name w:val="FollowedHyperlink1"/>
    <w:basedOn w:val="DefaultParagraphFont"/>
    <w:uiPriority w:val="99"/>
    <w:semiHidden/>
    <w:unhideWhenUsed/>
    <w:rsid w:val="00D71248"/>
    <w:rPr>
      <w:color w:val="800080"/>
      <w:u w:val="single"/>
    </w:rPr>
  </w:style>
  <w:style w:type="table" w:customStyle="1" w:styleId="TableGrid1">
    <w:name w:val="Table Grid1"/>
    <w:basedOn w:val="TableNormal"/>
    <w:next w:val="TableGrid"/>
    <w:uiPriority w:val="39"/>
    <w:rsid w:val="00D71248"/>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7124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1248"/>
    <w:rPr>
      <w:rFonts w:eastAsia="MS Gothic" w:cs="Times New Roman"/>
      <w:b/>
      <w:sz w:val="28"/>
      <w:szCs w:val="32"/>
    </w:rPr>
  </w:style>
  <w:style w:type="character" w:customStyle="1" w:styleId="Heading4Char">
    <w:name w:val="Heading 4 Char"/>
    <w:basedOn w:val="DefaultParagraphFont"/>
    <w:link w:val="Heading4"/>
    <w:uiPriority w:val="9"/>
    <w:rsid w:val="00D71248"/>
    <w:rPr>
      <w:rFonts w:ascii="Cambria" w:eastAsia="MS Gothic" w:hAnsi="Cambria" w:cs="Times New Roman"/>
      <w:i/>
      <w:iCs/>
      <w:color w:val="365F91"/>
      <w:sz w:val="24"/>
      <w:szCs w:val="24"/>
    </w:rPr>
  </w:style>
  <w:style w:type="paragraph" w:styleId="FootnoteText">
    <w:name w:val="footnote text"/>
    <w:basedOn w:val="Normal"/>
    <w:link w:val="FootnoteTextChar"/>
    <w:uiPriority w:val="99"/>
    <w:semiHidden/>
    <w:unhideWhenUsed/>
    <w:rsid w:val="00D71248"/>
    <w:pPr>
      <w:spacing w:after="0" w:line="240" w:lineRule="auto"/>
    </w:pPr>
    <w:rPr>
      <w:rFonts w:ascii="Times New Roman" w:eastAsia="Times New Roman" w:hAnsi="Times New Roman" w:cs="Times New Roman"/>
      <w:sz w:val="20"/>
      <w:szCs w:val="20"/>
      <w:lang w:val="lv-LV" w:eastAsia="lv-LV"/>
    </w:rPr>
  </w:style>
  <w:style w:type="character" w:customStyle="1" w:styleId="FootnoteTextChar">
    <w:name w:val="Footnote Text Char"/>
    <w:basedOn w:val="DefaultParagraphFont"/>
    <w:link w:val="FootnoteText"/>
    <w:uiPriority w:val="99"/>
    <w:rsid w:val="00D71248"/>
    <w:rPr>
      <w:rFonts w:ascii="Times New Roman" w:eastAsia="Times New Roman" w:hAnsi="Times New Roman" w:cs="Times New Roman"/>
      <w:sz w:val="20"/>
      <w:szCs w:val="20"/>
      <w:lang w:val="lv-LV"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D71248"/>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D71248"/>
    <w:pPr>
      <w:spacing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D71248"/>
    <w:rPr>
      <w:color w:val="954F72" w:themeColor="followedHyperlink"/>
      <w:u w:val="single"/>
    </w:rPr>
  </w:style>
  <w:style w:type="character" w:customStyle="1" w:styleId="Heading1Char1">
    <w:name w:val="Heading 1 Char1"/>
    <w:basedOn w:val="DefaultParagraphFont"/>
    <w:uiPriority w:val="9"/>
    <w:rsid w:val="00D71248"/>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D7124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D67AB"/>
    <w:rPr>
      <w:rFonts w:ascii="Calibri Light" w:eastAsia="Times New Roman" w:hAnsi="Calibri Light" w:cs="Times New Roman"/>
      <w:color w:val="44546A"/>
      <w:sz w:val="20"/>
      <w:szCs w:val="20"/>
      <w:lang w:val="lv-LV" w:eastAsia="lv-LV"/>
    </w:rPr>
  </w:style>
  <w:style w:type="character" w:customStyle="1" w:styleId="Heading6Char">
    <w:name w:val="Heading 6 Char"/>
    <w:basedOn w:val="DefaultParagraphFont"/>
    <w:link w:val="Heading6"/>
    <w:uiPriority w:val="9"/>
    <w:semiHidden/>
    <w:rsid w:val="000D67AB"/>
    <w:rPr>
      <w:rFonts w:ascii="Calibri Light" w:eastAsia="Times New Roman" w:hAnsi="Calibri Light" w:cs="Times New Roman"/>
      <w:i/>
      <w:iCs/>
      <w:color w:val="44546A"/>
      <w:sz w:val="21"/>
      <w:szCs w:val="21"/>
      <w:lang w:val="lv-LV" w:eastAsia="lv-LV"/>
    </w:rPr>
  </w:style>
  <w:style w:type="character" w:customStyle="1" w:styleId="Heading7Char">
    <w:name w:val="Heading 7 Char"/>
    <w:basedOn w:val="DefaultParagraphFont"/>
    <w:link w:val="Heading7"/>
    <w:uiPriority w:val="9"/>
    <w:semiHidden/>
    <w:rsid w:val="000D67AB"/>
    <w:rPr>
      <w:rFonts w:ascii="Calibri Light" w:eastAsia="Times New Roman" w:hAnsi="Calibri Light" w:cs="Times New Roman"/>
      <w:i/>
      <w:iCs/>
      <w:color w:val="1F3864"/>
      <w:sz w:val="21"/>
      <w:szCs w:val="21"/>
      <w:lang w:val="lv-LV" w:eastAsia="lv-LV"/>
    </w:rPr>
  </w:style>
  <w:style w:type="character" w:customStyle="1" w:styleId="Heading8Char">
    <w:name w:val="Heading 8 Char"/>
    <w:basedOn w:val="DefaultParagraphFont"/>
    <w:link w:val="Heading8"/>
    <w:uiPriority w:val="9"/>
    <w:semiHidden/>
    <w:rsid w:val="000D67AB"/>
    <w:rPr>
      <w:rFonts w:ascii="Calibri Light" w:eastAsia="Times New Roman" w:hAnsi="Calibri Light" w:cs="Times New Roman"/>
      <w:b/>
      <w:bCs/>
      <w:color w:val="44546A"/>
      <w:sz w:val="20"/>
      <w:szCs w:val="20"/>
      <w:lang w:val="lv-LV" w:eastAsia="lv-LV"/>
    </w:rPr>
  </w:style>
  <w:style w:type="character" w:customStyle="1" w:styleId="Heading9Char">
    <w:name w:val="Heading 9 Char"/>
    <w:basedOn w:val="DefaultParagraphFont"/>
    <w:link w:val="Heading9"/>
    <w:uiPriority w:val="9"/>
    <w:semiHidden/>
    <w:rsid w:val="000D67AB"/>
    <w:rPr>
      <w:rFonts w:ascii="Calibri Light" w:eastAsia="Times New Roman" w:hAnsi="Calibri Light" w:cs="Times New Roman"/>
      <w:b/>
      <w:bCs/>
      <w:i/>
      <w:iCs/>
      <w:color w:val="44546A"/>
      <w:sz w:val="20"/>
      <w:szCs w:val="20"/>
      <w:lang w:val="lv-LV" w:eastAsia="lv-LV"/>
    </w:rPr>
  </w:style>
  <w:style w:type="numbering" w:customStyle="1" w:styleId="NoList2">
    <w:name w:val="No List2"/>
    <w:next w:val="NoList"/>
    <w:uiPriority w:val="99"/>
    <w:semiHidden/>
    <w:unhideWhenUsed/>
    <w:rsid w:val="000D67AB"/>
  </w:style>
  <w:style w:type="table" w:customStyle="1" w:styleId="TableGrid2">
    <w:name w:val="Table Grid2"/>
    <w:basedOn w:val="TableNormal"/>
    <w:next w:val="TableGrid"/>
    <w:uiPriority w:val="59"/>
    <w:rsid w:val="000D67AB"/>
    <w:pPr>
      <w:spacing w:after="0" w:line="240" w:lineRule="auto"/>
    </w:pPr>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D67AB"/>
  </w:style>
  <w:style w:type="paragraph" w:customStyle="1" w:styleId="Heading51">
    <w:name w:val="Heading 51"/>
    <w:basedOn w:val="Normal"/>
    <w:next w:val="Normal"/>
    <w:uiPriority w:val="9"/>
    <w:unhideWhenUsed/>
    <w:qFormat/>
    <w:rsid w:val="000D67AB"/>
    <w:pPr>
      <w:keepNext/>
      <w:keepLines/>
      <w:spacing w:before="40" w:after="0" w:line="264" w:lineRule="auto"/>
      <w:jc w:val="both"/>
      <w:outlineLvl w:val="4"/>
    </w:pPr>
    <w:rPr>
      <w:rFonts w:ascii="Calibri Light" w:eastAsia="Times New Roman" w:hAnsi="Calibri Light" w:cs="Times New Roman"/>
      <w:color w:val="44546A"/>
      <w:lang w:val="lv-LV"/>
    </w:rPr>
  </w:style>
  <w:style w:type="paragraph" w:customStyle="1" w:styleId="Heading61">
    <w:name w:val="Heading 61"/>
    <w:basedOn w:val="Normal"/>
    <w:next w:val="Normal"/>
    <w:uiPriority w:val="9"/>
    <w:unhideWhenUsed/>
    <w:qFormat/>
    <w:rsid w:val="000D67AB"/>
    <w:pPr>
      <w:keepNext/>
      <w:keepLines/>
      <w:spacing w:before="40" w:after="0" w:line="264" w:lineRule="auto"/>
      <w:jc w:val="both"/>
      <w:outlineLvl w:val="5"/>
    </w:pPr>
    <w:rPr>
      <w:rFonts w:ascii="Calibri Light" w:eastAsia="Times New Roman" w:hAnsi="Calibri Light" w:cs="Times New Roman"/>
      <w:i/>
      <w:iCs/>
      <w:color w:val="44546A"/>
      <w:sz w:val="21"/>
      <w:szCs w:val="21"/>
      <w:lang w:val="lv-LV"/>
    </w:rPr>
  </w:style>
  <w:style w:type="paragraph" w:customStyle="1" w:styleId="Heading71">
    <w:name w:val="Heading 71"/>
    <w:basedOn w:val="Normal"/>
    <w:next w:val="Normal"/>
    <w:uiPriority w:val="9"/>
    <w:unhideWhenUsed/>
    <w:qFormat/>
    <w:rsid w:val="000D67AB"/>
    <w:pPr>
      <w:keepNext/>
      <w:keepLines/>
      <w:spacing w:before="40" w:after="0" w:line="264" w:lineRule="auto"/>
      <w:jc w:val="both"/>
      <w:outlineLvl w:val="6"/>
    </w:pPr>
    <w:rPr>
      <w:rFonts w:ascii="Calibri Light" w:eastAsia="Times New Roman" w:hAnsi="Calibri Light" w:cs="Times New Roman"/>
      <w:i/>
      <w:iCs/>
      <w:color w:val="1F3864"/>
      <w:sz w:val="21"/>
      <w:szCs w:val="21"/>
      <w:lang w:val="lv-LV"/>
    </w:rPr>
  </w:style>
  <w:style w:type="paragraph" w:customStyle="1" w:styleId="Heading81">
    <w:name w:val="Heading 81"/>
    <w:basedOn w:val="Normal"/>
    <w:next w:val="Normal"/>
    <w:uiPriority w:val="9"/>
    <w:semiHidden/>
    <w:unhideWhenUsed/>
    <w:qFormat/>
    <w:rsid w:val="000D67AB"/>
    <w:pPr>
      <w:keepNext/>
      <w:keepLines/>
      <w:spacing w:before="40" w:after="0" w:line="264" w:lineRule="auto"/>
      <w:jc w:val="both"/>
      <w:outlineLvl w:val="7"/>
    </w:pPr>
    <w:rPr>
      <w:rFonts w:ascii="Calibri Light" w:eastAsia="Times New Roman" w:hAnsi="Calibri Light" w:cs="Times New Roman"/>
      <w:b/>
      <w:bCs/>
      <w:color w:val="44546A"/>
      <w:sz w:val="20"/>
      <w:szCs w:val="20"/>
      <w:lang w:val="lv-LV"/>
    </w:rPr>
  </w:style>
  <w:style w:type="paragraph" w:customStyle="1" w:styleId="Heading91">
    <w:name w:val="Heading 91"/>
    <w:basedOn w:val="Normal"/>
    <w:next w:val="Normal"/>
    <w:uiPriority w:val="9"/>
    <w:semiHidden/>
    <w:unhideWhenUsed/>
    <w:qFormat/>
    <w:rsid w:val="000D67AB"/>
    <w:pPr>
      <w:keepNext/>
      <w:keepLines/>
      <w:spacing w:before="40" w:after="0" w:line="264" w:lineRule="auto"/>
      <w:jc w:val="both"/>
      <w:outlineLvl w:val="8"/>
    </w:pPr>
    <w:rPr>
      <w:rFonts w:ascii="Calibri Light" w:eastAsia="Times New Roman" w:hAnsi="Calibri Light" w:cs="Times New Roman"/>
      <w:b/>
      <w:bCs/>
      <w:i/>
      <w:iCs/>
      <w:color w:val="44546A"/>
      <w:sz w:val="20"/>
      <w:szCs w:val="20"/>
      <w:lang w:val="lv-LV"/>
    </w:rPr>
  </w:style>
  <w:style w:type="numbering" w:customStyle="1" w:styleId="NoList12">
    <w:name w:val="No List12"/>
    <w:next w:val="NoList"/>
    <w:uiPriority w:val="99"/>
    <w:semiHidden/>
    <w:unhideWhenUsed/>
    <w:rsid w:val="000D67AB"/>
  </w:style>
  <w:style w:type="table" w:customStyle="1" w:styleId="companyTable">
    <w:name w:val="companyTable"/>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paragraph" w:customStyle="1" w:styleId="NoSpacing2">
    <w:name w:val="No Spacing2"/>
    <w:next w:val="NoSpacing"/>
    <w:link w:val="NoSpacingChar"/>
    <w:qFormat/>
    <w:rsid w:val="000D67AB"/>
    <w:pPr>
      <w:spacing w:after="0" w:line="240" w:lineRule="auto"/>
    </w:pPr>
    <w:rPr>
      <w:rFonts w:ascii="Calibri" w:eastAsia="Times New Roman" w:hAnsi="Calibri" w:cs="Times New Roman"/>
      <w:sz w:val="20"/>
      <w:szCs w:val="20"/>
      <w:lang w:val="lv-LV"/>
    </w:rPr>
  </w:style>
  <w:style w:type="table" w:customStyle="1" w:styleId="companyTable1">
    <w:name w:val="companyTable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
    <w:name w:val="companyTable2"/>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
    <w:name w:val="companyTable3"/>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character" w:customStyle="1" w:styleId="StyleCenturyGothic28ptOrangeSmallcaps">
    <w:name w:val="Style Century Gothic 28 pt Orange Small caps"/>
    <w:rsid w:val="000D67AB"/>
    <w:rPr>
      <w:rFonts w:ascii="Century Gothic" w:hAnsi="Century Gothic"/>
      <w:smallCaps/>
      <w:color w:val="FF6600"/>
      <w:sz w:val="36"/>
    </w:rPr>
  </w:style>
  <w:style w:type="paragraph" w:customStyle="1" w:styleId="Default">
    <w:name w:val="Default"/>
    <w:rsid w:val="000D67AB"/>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
    <w:name w:val="Body Text"/>
    <w:basedOn w:val="Normal"/>
    <w:link w:val="BodyTextChar"/>
    <w:unhideWhenUsed/>
    <w:rsid w:val="000D67AB"/>
    <w:pPr>
      <w:spacing w:after="120" w:line="240" w:lineRule="auto"/>
      <w:jc w:val="both"/>
    </w:pPr>
    <w:rPr>
      <w:rFonts w:ascii="Times New Roman" w:eastAsia="SimSun" w:hAnsi="Times New Roman" w:cs="Times New Roman"/>
      <w:sz w:val="24"/>
      <w:szCs w:val="24"/>
      <w:lang w:val="lv-LV" w:eastAsia="zh-CN"/>
    </w:rPr>
  </w:style>
  <w:style w:type="character" w:customStyle="1" w:styleId="BodyTextChar">
    <w:name w:val="Body Text Char"/>
    <w:basedOn w:val="DefaultParagraphFont"/>
    <w:link w:val="BodyText"/>
    <w:rsid w:val="000D67AB"/>
    <w:rPr>
      <w:rFonts w:ascii="Times New Roman" w:eastAsia="SimSun" w:hAnsi="Times New Roman" w:cs="Times New Roman"/>
      <w:sz w:val="24"/>
      <w:szCs w:val="24"/>
      <w:lang w:val="lv-LV" w:eastAsia="zh-CN"/>
    </w:rPr>
  </w:style>
  <w:style w:type="character" w:customStyle="1" w:styleId="apple-style-span">
    <w:name w:val="apple-style-span"/>
    <w:basedOn w:val="DefaultParagraphFont"/>
    <w:rsid w:val="000D67AB"/>
  </w:style>
  <w:style w:type="paragraph" w:styleId="BodyText2">
    <w:name w:val="Body Text 2"/>
    <w:basedOn w:val="Normal"/>
    <w:link w:val="BodyText2Char"/>
    <w:uiPriority w:val="99"/>
    <w:unhideWhenUsed/>
    <w:rsid w:val="000D67AB"/>
    <w:pPr>
      <w:spacing w:after="120" w:line="480" w:lineRule="auto"/>
      <w:jc w:val="both"/>
    </w:pPr>
    <w:rPr>
      <w:rFonts w:ascii="Tahoma" w:eastAsia="Times New Roman" w:hAnsi="Tahoma" w:cs="Times New Roman"/>
      <w:sz w:val="20"/>
      <w:szCs w:val="20"/>
      <w:lang w:val="en-GB"/>
    </w:rPr>
  </w:style>
  <w:style w:type="character" w:customStyle="1" w:styleId="BodyText2Char">
    <w:name w:val="Body Text 2 Char"/>
    <w:basedOn w:val="DefaultParagraphFont"/>
    <w:link w:val="BodyText2"/>
    <w:uiPriority w:val="99"/>
    <w:rsid w:val="000D67AB"/>
    <w:rPr>
      <w:rFonts w:ascii="Tahoma" w:eastAsia="Times New Roman" w:hAnsi="Tahoma" w:cs="Times New Roman"/>
      <w:sz w:val="20"/>
      <w:szCs w:val="20"/>
      <w:lang w:val="en-GB"/>
    </w:rPr>
  </w:style>
  <w:style w:type="paragraph" w:customStyle="1" w:styleId="o1">
    <w:name w:val="o1"/>
    <w:basedOn w:val="Normal"/>
    <w:next w:val="FootnoteText"/>
    <w:uiPriority w:val="99"/>
    <w:unhideWhenUsed/>
    <w:qFormat/>
    <w:rsid w:val="000D67AB"/>
    <w:pPr>
      <w:spacing w:after="0" w:line="240" w:lineRule="auto"/>
      <w:jc w:val="both"/>
    </w:pPr>
    <w:rPr>
      <w:rFonts w:ascii="Tahoma" w:eastAsia="SimSun" w:hAnsi="Tahoma" w:cs="Times New Roman"/>
      <w:color w:val="262626"/>
      <w:sz w:val="16"/>
      <w:szCs w:val="20"/>
      <w:lang w:val="en-GB" w:eastAsia="zh-CN"/>
    </w:rPr>
  </w:style>
  <w:style w:type="table" w:customStyle="1" w:styleId="TableGrid11">
    <w:name w:val="Table Grid11"/>
    <w:basedOn w:val="TableNormal"/>
    <w:next w:val="TableGrid"/>
    <w:uiPriority w:val="3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DefaultParagraphFont"/>
    <w:rsid w:val="000D67AB"/>
  </w:style>
  <w:style w:type="character" w:customStyle="1" w:styleId="NoSpacingChar">
    <w:name w:val="No Spacing Char"/>
    <w:basedOn w:val="DefaultParagraphFont"/>
    <w:link w:val="NoSpacing2"/>
    <w:rsid w:val="000D67AB"/>
    <w:rPr>
      <w:rFonts w:ascii="Calibri" w:eastAsia="Times New Roman" w:hAnsi="Calibri" w:cs="Times New Roman"/>
      <w:sz w:val="20"/>
      <w:szCs w:val="20"/>
      <w:lang w:val="lv-LV"/>
    </w:rPr>
  </w:style>
  <w:style w:type="numbering" w:customStyle="1" w:styleId="Timebullet">
    <w:name w:val="Time bullet"/>
    <w:basedOn w:val="NoList"/>
    <w:uiPriority w:val="99"/>
    <w:rsid w:val="000D67AB"/>
  </w:style>
  <w:style w:type="paragraph" w:customStyle="1" w:styleId="Time">
    <w:name w:val="Time"/>
    <w:basedOn w:val="Normal"/>
    <w:autoRedefine/>
    <w:rsid w:val="000D67AB"/>
    <w:pPr>
      <w:numPr>
        <w:ilvl w:val="1"/>
        <w:numId w:val="58"/>
      </w:numPr>
      <w:autoSpaceDE w:val="0"/>
      <w:autoSpaceDN w:val="0"/>
      <w:adjustRightInd w:val="0"/>
      <w:spacing w:after="120" w:line="240" w:lineRule="auto"/>
      <w:ind w:left="1440" w:hanging="360"/>
      <w:jc w:val="both"/>
    </w:pPr>
    <w:rPr>
      <w:rFonts w:ascii="Avenir Heavy" w:eastAsia="Times New Roman" w:hAnsi="Avenir Heavy" w:cs="Times New Roman"/>
      <w:b/>
      <w:bCs/>
      <w:color w:val="404040"/>
      <w:sz w:val="20"/>
      <w:szCs w:val="20"/>
      <w:lang w:val="lv-LV"/>
    </w:rPr>
  </w:style>
  <w:style w:type="paragraph" w:customStyle="1" w:styleId="Heading">
    <w:name w:val="Heading"/>
    <w:basedOn w:val="GPTitle"/>
    <w:link w:val="HeadingChar"/>
    <w:rsid w:val="000D67AB"/>
  </w:style>
  <w:style w:type="paragraph" w:customStyle="1" w:styleId="GPHeading1">
    <w:name w:val="G&amp;P Heading 1"/>
    <w:basedOn w:val="Heading2"/>
    <w:rsid w:val="000D67AB"/>
    <w:pPr>
      <w:keepNext w:val="0"/>
      <w:keepLines w:val="0"/>
      <w:numPr>
        <w:ilvl w:val="1"/>
      </w:numPr>
      <w:suppressAutoHyphens w:val="0"/>
      <w:autoSpaceDN/>
      <w:spacing w:before="0" w:after="240"/>
      <w:ind w:left="1440" w:hanging="360"/>
      <w:jc w:val="right"/>
      <w:textAlignment w:val="auto"/>
    </w:pPr>
    <w:rPr>
      <w:rFonts w:ascii="Tahoma" w:hAnsi="Tahoma" w:cs="Tahoma"/>
      <w:b w:val="0"/>
      <w:bCs w:val="0"/>
      <w:color w:val="595959"/>
      <w:spacing w:val="22"/>
      <w:sz w:val="48"/>
      <w:szCs w:val="20"/>
      <w:lang w:val="lv-LV"/>
    </w:rPr>
  </w:style>
  <w:style w:type="paragraph" w:customStyle="1" w:styleId="GPHeading3">
    <w:name w:val="G&amp;P Heading 3"/>
    <w:basedOn w:val="Normal"/>
    <w:link w:val="GPHeading3Char"/>
    <w:rsid w:val="000D67AB"/>
    <w:pPr>
      <w:spacing w:after="240" w:line="240" w:lineRule="auto"/>
      <w:jc w:val="both"/>
      <w:outlineLvl w:val="2"/>
    </w:pPr>
    <w:rPr>
      <w:rFonts w:ascii="Tahoma" w:eastAsia="Times New Roman" w:hAnsi="Tahoma" w:cs="Times New Roman"/>
      <w:caps/>
      <w:color w:val="8F9C00"/>
      <w:sz w:val="28"/>
      <w:szCs w:val="20"/>
      <w:lang w:val="lv-LV"/>
    </w:rPr>
  </w:style>
  <w:style w:type="paragraph" w:customStyle="1" w:styleId="Bodylist">
    <w:name w:val="Body list"/>
    <w:basedOn w:val="Normal"/>
    <w:qFormat/>
    <w:rsid w:val="000D67AB"/>
    <w:pPr>
      <w:spacing w:after="120" w:line="264" w:lineRule="auto"/>
      <w:ind w:left="1418" w:hanging="1418"/>
      <w:jc w:val="both"/>
    </w:pPr>
    <w:rPr>
      <w:rFonts w:ascii="Tahoma" w:eastAsia="Times New Roman" w:hAnsi="Tahoma" w:cs="Times New Roman"/>
      <w:sz w:val="20"/>
      <w:szCs w:val="20"/>
      <w:lang w:val="lv-LV"/>
    </w:rPr>
  </w:style>
  <w:style w:type="paragraph" w:customStyle="1" w:styleId="GPTitle">
    <w:name w:val="G&amp;P_Title"/>
    <w:basedOn w:val="Normal"/>
    <w:link w:val="GPTitleChar"/>
    <w:rsid w:val="000D67AB"/>
    <w:pPr>
      <w:spacing w:after="120" w:line="264" w:lineRule="auto"/>
      <w:jc w:val="center"/>
    </w:pPr>
    <w:rPr>
      <w:rFonts w:ascii="Avenir Heavy" w:eastAsia="Times New Roman" w:hAnsi="Avenir Heavy" w:cs="Times New Roman"/>
      <w:b/>
      <w:bCs/>
      <w:color w:val="FFFFFF"/>
      <w:sz w:val="90"/>
      <w:szCs w:val="90"/>
      <w:lang w:val="lv-LV"/>
    </w:rPr>
  </w:style>
  <w:style w:type="paragraph" w:customStyle="1" w:styleId="GPHeading2">
    <w:name w:val="G&amp;P Heading 2"/>
    <w:basedOn w:val="Normal"/>
    <w:link w:val="GPHeading2Char"/>
    <w:rsid w:val="000D67AB"/>
    <w:pPr>
      <w:spacing w:before="360" w:after="360" w:line="240" w:lineRule="auto"/>
      <w:jc w:val="both"/>
    </w:pPr>
    <w:rPr>
      <w:rFonts w:ascii="Tahoma" w:eastAsia="Times New Roman" w:hAnsi="Tahoma" w:cs="Times New Roman"/>
      <w:b/>
      <w:color w:val="787878"/>
      <w:sz w:val="24"/>
      <w:szCs w:val="20"/>
      <w:lang w:val="lv-LV"/>
    </w:rPr>
  </w:style>
  <w:style w:type="character" w:customStyle="1" w:styleId="GPTitleChar">
    <w:name w:val="G&amp;P_Title Char"/>
    <w:basedOn w:val="DefaultParagraphFont"/>
    <w:link w:val="GPTitle"/>
    <w:rsid w:val="000D67AB"/>
    <w:rPr>
      <w:rFonts w:ascii="Avenir Heavy" w:eastAsia="Times New Roman" w:hAnsi="Avenir Heavy" w:cs="Times New Roman"/>
      <w:b/>
      <w:bCs/>
      <w:color w:val="FFFFFF"/>
      <w:sz w:val="90"/>
      <w:szCs w:val="90"/>
      <w:lang w:val="lv-LV"/>
    </w:rPr>
  </w:style>
  <w:style w:type="paragraph" w:customStyle="1" w:styleId="GPTitle0">
    <w:name w:val="G&amp;P Title"/>
    <w:basedOn w:val="Heading"/>
    <w:link w:val="GPTitleChar0"/>
    <w:rsid w:val="000D67AB"/>
    <w:rPr>
      <w:rFonts w:ascii="Avenir LT Std 55 Roman" w:hAnsi="Avenir LT Std 55 Roman"/>
      <w:caps/>
    </w:rPr>
  </w:style>
  <w:style w:type="character" w:customStyle="1" w:styleId="GPHeading3Char">
    <w:name w:val="G&amp;P Heading 3 Char"/>
    <w:basedOn w:val="DefaultParagraphFont"/>
    <w:link w:val="GPHeading3"/>
    <w:rsid w:val="000D67AB"/>
    <w:rPr>
      <w:rFonts w:ascii="Tahoma" w:eastAsia="Times New Roman" w:hAnsi="Tahoma" w:cs="Times New Roman"/>
      <w:caps/>
      <w:color w:val="8F9C00"/>
      <w:sz w:val="28"/>
      <w:szCs w:val="20"/>
      <w:lang w:val="lv-LV"/>
    </w:rPr>
  </w:style>
  <w:style w:type="character" w:customStyle="1" w:styleId="GPHeading2Char">
    <w:name w:val="G&amp;P Heading 2 Char"/>
    <w:basedOn w:val="GPHeading3Char"/>
    <w:link w:val="GPHeading2"/>
    <w:rsid w:val="000D67AB"/>
    <w:rPr>
      <w:rFonts w:ascii="Tahoma" w:eastAsia="Times New Roman" w:hAnsi="Tahoma" w:cs="Times New Roman"/>
      <w:b/>
      <w:caps w:val="0"/>
      <w:color w:val="787878"/>
      <w:sz w:val="24"/>
      <w:szCs w:val="20"/>
      <w:lang w:val="lv-LV"/>
    </w:rPr>
  </w:style>
  <w:style w:type="paragraph" w:customStyle="1" w:styleId="GPSubtitle">
    <w:name w:val="G&amp;P Subtitle"/>
    <w:basedOn w:val="GPHeading3"/>
    <w:link w:val="GPSubtitleChar"/>
    <w:rsid w:val="000D67AB"/>
    <w:rPr>
      <w:b/>
      <w:caps w:val="0"/>
      <w:noProof/>
      <w:color w:val="44546A"/>
    </w:rPr>
  </w:style>
  <w:style w:type="character" w:customStyle="1" w:styleId="HeadingChar">
    <w:name w:val="Heading Char"/>
    <w:basedOn w:val="GPTitleChar"/>
    <w:link w:val="Heading"/>
    <w:rsid w:val="000D67AB"/>
    <w:rPr>
      <w:rFonts w:ascii="Avenir Heavy" w:eastAsia="Times New Roman" w:hAnsi="Avenir Heavy" w:cs="Times New Roman"/>
      <w:b/>
      <w:bCs/>
      <w:color w:val="FFFFFF"/>
      <w:sz w:val="90"/>
      <w:szCs w:val="90"/>
      <w:lang w:val="lv-LV"/>
    </w:rPr>
  </w:style>
  <w:style w:type="character" w:customStyle="1" w:styleId="GPTitleChar0">
    <w:name w:val="G&amp;P Title Char"/>
    <w:basedOn w:val="HeadingChar"/>
    <w:link w:val="GPTitle0"/>
    <w:rsid w:val="000D67AB"/>
    <w:rPr>
      <w:rFonts w:ascii="Avenir LT Std 55 Roman" w:eastAsia="Times New Roman" w:hAnsi="Avenir LT Std 55 Roman" w:cs="Times New Roman"/>
      <w:b/>
      <w:bCs/>
      <w:caps/>
      <w:color w:val="FFFFFF"/>
      <w:sz w:val="90"/>
      <w:szCs w:val="90"/>
      <w:lang w:val="lv-LV"/>
    </w:rPr>
  </w:style>
  <w:style w:type="paragraph" w:customStyle="1" w:styleId="GPHeading2withsubtitle">
    <w:name w:val="G&amp;P Heading 2 with subtitle"/>
    <w:basedOn w:val="GPHeading2"/>
    <w:link w:val="GPHeading2withsubtitleChar"/>
    <w:rsid w:val="000D67AB"/>
    <w:pPr>
      <w:spacing w:after="0"/>
    </w:pPr>
  </w:style>
  <w:style w:type="character" w:customStyle="1" w:styleId="GPSubtitleChar">
    <w:name w:val="G&amp;P Subtitle Char"/>
    <w:basedOn w:val="GPHeading3Char"/>
    <w:link w:val="GPSubtitle"/>
    <w:rsid w:val="000D67AB"/>
    <w:rPr>
      <w:rFonts w:ascii="Tahoma" w:eastAsia="Times New Roman" w:hAnsi="Tahoma" w:cs="Times New Roman"/>
      <w:b/>
      <w:caps w:val="0"/>
      <w:noProof/>
      <w:color w:val="44546A"/>
      <w:sz w:val="28"/>
      <w:szCs w:val="20"/>
      <w:lang w:val="lv-LV"/>
    </w:rPr>
  </w:style>
  <w:style w:type="character" w:customStyle="1" w:styleId="GPHeading2withsubtitleChar">
    <w:name w:val="G&amp;P Heading 2 with subtitle Char"/>
    <w:basedOn w:val="GPHeading2Char"/>
    <w:link w:val="GPHeading2withsubtitle"/>
    <w:rsid w:val="000D67AB"/>
    <w:rPr>
      <w:rFonts w:ascii="Tahoma" w:eastAsia="Times New Roman" w:hAnsi="Tahoma" w:cs="Times New Roman"/>
      <w:b/>
      <w:caps w:val="0"/>
      <w:color w:val="787878"/>
      <w:sz w:val="24"/>
      <w:szCs w:val="20"/>
      <w:lang w:val="lv-LV"/>
    </w:rPr>
  </w:style>
  <w:style w:type="paragraph" w:customStyle="1" w:styleId="GPList">
    <w:name w:val="G&amp;P List"/>
    <w:basedOn w:val="ListParagraph"/>
    <w:link w:val="GPListChar"/>
    <w:rsid w:val="000D67AB"/>
    <w:pPr>
      <w:numPr>
        <w:numId w:val="59"/>
      </w:numPr>
      <w:suppressAutoHyphens w:val="0"/>
      <w:autoSpaceDE w:val="0"/>
      <w:adjustRightInd w:val="0"/>
      <w:spacing w:after="120" w:line="264" w:lineRule="auto"/>
      <w:jc w:val="both"/>
      <w:textAlignment w:val="auto"/>
      <w:outlineLvl w:val="0"/>
    </w:pPr>
    <w:rPr>
      <w:rFonts w:ascii="Tahoma" w:hAnsi="Tahoma" w:cs="Tahoma"/>
    </w:rPr>
  </w:style>
  <w:style w:type="paragraph" w:customStyle="1" w:styleId="IntenseQuote1">
    <w:name w:val="Intense Quote1"/>
    <w:basedOn w:val="Normal"/>
    <w:next w:val="Normal"/>
    <w:uiPriority w:val="30"/>
    <w:qFormat/>
    <w:rsid w:val="000D67AB"/>
    <w:pPr>
      <w:pBdr>
        <w:left w:val="single" w:sz="18" w:space="12" w:color="4472C4"/>
      </w:pBdr>
      <w:spacing w:before="100" w:beforeAutospacing="1" w:after="120" w:line="300" w:lineRule="auto"/>
      <w:ind w:left="1224" w:right="1224"/>
      <w:jc w:val="both"/>
    </w:pPr>
    <w:rPr>
      <w:rFonts w:ascii="Calibri Light" w:eastAsia="Times New Roman" w:hAnsi="Calibri Light" w:cs="Times New Roman"/>
      <w:color w:val="4472C4"/>
      <w:sz w:val="28"/>
      <w:szCs w:val="28"/>
      <w:lang w:val="lv-LV"/>
    </w:rPr>
  </w:style>
  <w:style w:type="character" w:customStyle="1" w:styleId="IntenseQuoteChar">
    <w:name w:val="Intense Quote Char"/>
    <w:basedOn w:val="DefaultParagraphFont"/>
    <w:link w:val="IntenseQuote"/>
    <w:uiPriority w:val="30"/>
    <w:rsid w:val="000D67AB"/>
    <w:rPr>
      <w:rFonts w:ascii="Calibri Light" w:eastAsia="Times New Roman" w:hAnsi="Calibri Light" w:cs="Times New Roman"/>
      <w:color w:val="4472C4"/>
      <w:sz w:val="28"/>
      <w:szCs w:val="28"/>
      <w:lang w:val="lv-LV"/>
    </w:rPr>
  </w:style>
  <w:style w:type="character" w:customStyle="1" w:styleId="GPListChar">
    <w:name w:val="G&amp;P List Char"/>
    <w:basedOn w:val="ListParagraphChar"/>
    <w:link w:val="GPList"/>
    <w:rsid w:val="000D67AB"/>
    <w:rPr>
      <w:rFonts w:ascii="Tahoma" w:eastAsia="Times New Roman" w:hAnsi="Tahoma" w:cs="Tahoma"/>
      <w:sz w:val="24"/>
      <w:szCs w:val="24"/>
      <w:lang w:val="en-US" w:eastAsia="ja-JP"/>
    </w:rPr>
  </w:style>
  <w:style w:type="table" w:customStyle="1" w:styleId="PG">
    <w:name w:val="P&amp;G"/>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
    <w:name w:val="List Table 7 Colorful - Accent 11"/>
    <w:basedOn w:val="TableNormal"/>
    <w:uiPriority w:val="52"/>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
    <w:name w:val="Grid Table 5 Dark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472C4"/>
        <w:vAlign w:val="center"/>
      </w:tcPr>
    </w:tblStylePr>
    <w:tblStylePr w:type="lastRow">
      <w:rPr>
        <w:b/>
        <w:bCs/>
        <w:color w:val="FFFFFF"/>
      </w:rPr>
      <w:tblPr/>
      <w:tcPr>
        <w:shd w:val="clear" w:color="auto" w:fill="A5A5A5"/>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A5A5A5"/>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
    <w:name w:val="P&amp;G Table"/>
    <w:basedOn w:val="TableNormal"/>
    <w:uiPriority w:val="99"/>
    <w:rsid w:val="000D67AB"/>
    <w:pPr>
      <w:spacing w:after="0" w:line="240" w:lineRule="auto"/>
    </w:pPr>
    <w:rPr>
      <w:rFonts w:ascii="Calibri" w:eastAsia="Times New Roman" w:hAnsi="Calibri" w:cs="Times New Roman"/>
      <w:sz w:val="20"/>
      <w:szCs w:val="20"/>
      <w:lang w:val="lv-LV"/>
    </w:rPr>
    <w:tblPr/>
  </w:style>
  <w:style w:type="paragraph" w:customStyle="1" w:styleId="Subtitle1">
    <w:name w:val="Subtitle1"/>
    <w:basedOn w:val="Normal"/>
    <w:next w:val="Normal"/>
    <w:uiPriority w:val="11"/>
    <w:qFormat/>
    <w:rsid w:val="000D67AB"/>
    <w:pPr>
      <w:numPr>
        <w:ilvl w:val="1"/>
      </w:numPr>
      <w:spacing w:after="120" w:line="240" w:lineRule="auto"/>
      <w:jc w:val="both"/>
    </w:pPr>
    <w:rPr>
      <w:rFonts w:ascii="Calibri Light" w:eastAsia="Times New Roman" w:hAnsi="Calibri Light" w:cs="Times New Roman"/>
      <w:sz w:val="24"/>
      <w:szCs w:val="24"/>
      <w:lang w:val="lv-LV"/>
    </w:rPr>
  </w:style>
  <w:style w:type="character" w:customStyle="1" w:styleId="SubtitleChar">
    <w:name w:val="Subtitle Char"/>
    <w:basedOn w:val="DefaultParagraphFont"/>
    <w:link w:val="Subtitle"/>
    <w:uiPriority w:val="11"/>
    <w:rsid w:val="000D67AB"/>
    <w:rPr>
      <w:rFonts w:ascii="Calibri Light" w:eastAsia="Times New Roman" w:hAnsi="Calibri Light" w:cs="Times New Roman"/>
      <w:sz w:val="24"/>
      <w:szCs w:val="24"/>
      <w:lang w:val="lv-LV"/>
    </w:rPr>
  </w:style>
  <w:style w:type="character" w:styleId="IntenseEmphasis">
    <w:name w:val="Intense Emphasis"/>
    <w:basedOn w:val="DefaultParagraphFont"/>
    <w:uiPriority w:val="21"/>
    <w:qFormat/>
    <w:rsid w:val="000D67AB"/>
    <w:rPr>
      <w:b/>
      <w:bCs/>
      <w:i/>
      <w:iCs/>
    </w:rPr>
  </w:style>
  <w:style w:type="table" w:customStyle="1" w:styleId="GridTable4-Accent51">
    <w:name w:val="Grid Table 4 - Accent 51"/>
    <w:aliases w:val="P&amp;G time table"/>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
    <w:name w:val="Time table"/>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
    <w:name w:val="Grid Table 5 Dark - Accent 5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61">
    <w:name w:val="Grid Table 4 - Accent 61"/>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
    <w:name w:val="Grid Table 4 - Accent 612"/>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
    <w:name w:val="Grid Table 4 - Accent 6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
    <w:name w:val="Grid Table 4 - Accent 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1">
    <w:name w:val="Grid Table 4 - Accent 4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1">
    <w:name w:val="Grid Table 7 Colorful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SubtleEmphasis1">
    <w:name w:val="Subtle Emphasis1"/>
    <w:basedOn w:val="DefaultParagraphFont"/>
    <w:uiPriority w:val="19"/>
    <w:qFormat/>
    <w:rsid w:val="000D67AB"/>
    <w:rPr>
      <w:i/>
      <w:iCs/>
      <w:color w:val="404040"/>
    </w:rPr>
  </w:style>
  <w:style w:type="table" w:customStyle="1" w:styleId="TableGrid111">
    <w:name w:val="Table Grid111"/>
    <w:basedOn w:val="TableNormal"/>
    <w:next w:val="TableGrid"/>
    <w:uiPriority w:val="59"/>
    <w:rsid w:val="000D67AB"/>
    <w:pPr>
      <w:spacing w:after="0" w:line="240" w:lineRule="auto"/>
    </w:pPr>
    <w:rPr>
      <w:rFonts w:ascii="Times New Roman" w:eastAsia="SimSu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
    <w:name w:val="listTable"/>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
    <w:name w:val="test"/>
    <w:basedOn w:val="TableNormal"/>
    <w:uiPriority w:val="99"/>
    <w:rsid w:val="000D67AB"/>
    <w:pPr>
      <w:spacing w:after="0" w:line="240" w:lineRule="auto"/>
    </w:pPr>
    <w:rPr>
      <w:rFonts w:ascii="Calibri" w:eastAsia="Times New Roman" w:hAnsi="Calibri" w:cs="Times New Roman"/>
      <w:sz w:val="20"/>
      <w:szCs w:val="20"/>
      <w:lang w:val="lv-LV"/>
    </w:rPr>
    <w:tblPr/>
  </w:style>
  <w:style w:type="character" w:customStyle="1" w:styleId="UnresolvedMention10">
    <w:name w:val="Unresolved Mention1"/>
    <w:basedOn w:val="DefaultParagraphFont"/>
    <w:uiPriority w:val="99"/>
    <w:semiHidden/>
    <w:unhideWhenUsed/>
    <w:rsid w:val="000D67AB"/>
    <w:rPr>
      <w:color w:val="605E5C"/>
      <w:shd w:val="clear" w:color="auto" w:fill="E1DFDD"/>
    </w:rPr>
  </w:style>
  <w:style w:type="paragraph" w:styleId="Caption">
    <w:name w:val="caption"/>
    <w:aliases w:val="Saspiestie"/>
    <w:basedOn w:val="Normal"/>
    <w:next w:val="Normal"/>
    <w:uiPriority w:val="35"/>
    <w:unhideWhenUsed/>
    <w:qFormat/>
    <w:rsid w:val="000D67AB"/>
    <w:pPr>
      <w:spacing w:after="120" w:line="240" w:lineRule="auto"/>
      <w:jc w:val="both"/>
    </w:pPr>
    <w:rPr>
      <w:rFonts w:ascii="Tahoma" w:eastAsia="Times New Roman" w:hAnsi="Tahoma" w:cs="Times New Roman"/>
      <w:bCs/>
      <w:sz w:val="20"/>
      <w:szCs w:val="20"/>
      <w:lang w:val="lv-LV"/>
    </w:rPr>
  </w:style>
  <w:style w:type="table" w:customStyle="1" w:styleId="LightShading-Accent11">
    <w:name w:val="Light Shading - Accent 11"/>
    <w:basedOn w:val="TableNormal"/>
    <w:uiPriority w:val="60"/>
    <w:semiHidden/>
    <w:unhideWhenUsed/>
    <w:rsid w:val="000D67AB"/>
    <w:pPr>
      <w:spacing w:after="0" w:line="240" w:lineRule="auto"/>
    </w:pPr>
    <w:rPr>
      <w:rFonts w:ascii="Calibri" w:eastAsia="Times New Roman" w:hAnsi="Calibri" w:cs="Times New Roman"/>
      <w:color w:val="2F5496"/>
      <w:sz w:val="20"/>
      <w:szCs w:val="20"/>
      <w:lang w:val="lv-LV"/>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
    <w:name w:val="Light Shading - Accent 41"/>
    <w:basedOn w:val="TableNormal"/>
    <w:next w:val="LightShading-Accent4"/>
    <w:uiPriority w:val="60"/>
    <w:semiHidden/>
    <w:unhideWhenUsed/>
    <w:rsid w:val="000D67AB"/>
    <w:pPr>
      <w:spacing w:after="0" w:line="240" w:lineRule="auto"/>
    </w:pPr>
    <w:rPr>
      <w:rFonts w:ascii="Calibri" w:eastAsia="Times New Roman" w:hAnsi="Calibri" w:cs="Times New Roman"/>
      <w:color w:val="BF8F00"/>
      <w:sz w:val="20"/>
      <w:szCs w:val="20"/>
      <w:lang w:val="lv-LV"/>
    </w:rPr>
    <w:tblPr>
      <w:tblStyleRowBandSize w:val="1"/>
      <w:tblStyleColBandSize w:val="1"/>
      <w:tblBorders>
        <w:top w:val="single" w:sz="8" w:space="0" w:color="FFC000"/>
        <w:bottom w:val="single" w:sz="8" w:space="0" w:color="FFC000"/>
      </w:tblBorders>
    </w:tblPr>
    <w:tblStylePr w:type="fir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styleId="TOCHeading">
    <w:name w:val="TOC Heading"/>
    <w:basedOn w:val="Heading1"/>
    <w:next w:val="Normal"/>
    <w:uiPriority w:val="39"/>
    <w:unhideWhenUsed/>
    <w:qFormat/>
    <w:rsid w:val="000D67AB"/>
    <w:pPr>
      <w:keepNext w:val="0"/>
      <w:keepLines w:val="0"/>
      <w:spacing w:before="0" w:after="240" w:line="240" w:lineRule="auto"/>
      <w:ind w:left="720" w:hanging="360"/>
      <w:jc w:val="center"/>
      <w:outlineLvl w:val="9"/>
    </w:pPr>
    <w:rPr>
      <w:rFonts w:ascii="Tahoma" w:eastAsia="Times New Roman" w:hAnsi="Tahoma" w:cs="Tahoma"/>
      <w:b w:val="0"/>
      <w:color w:val="595959"/>
      <w:spacing w:val="22"/>
      <w:sz w:val="48"/>
      <w:szCs w:val="20"/>
      <w:lang w:val="lv-LV"/>
    </w:rPr>
  </w:style>
  <w:style w:type="paragraph" w:styleId="TOC2">
    <w:name w:val="toc 2"/>
    <w:basedOn w:val="Normal"/>
    <w:next w:val="Normal"/>
    <w:autoRedefine/>
    <w:uiPriority w:val="39"/>
    <w:unhideWhenUsed/>
    <w:rsid w:val="000D67AB"/>
    <w:pPr>
      <w:spacing w:after="100" w:line="264" w:lineRule="auto"/>
      <w:ind w:left="220"/>
      <w:jc w:val="both"/>
    </w:pPr>
    <w:rPr>
      <w:rFonts w:ascii="Tahoma" w:eastAsia="Times New Roman" w:hAnsi="Tahoma" w:cs="Times New Roman"/>
      <w:sz w:val="20"/>
      <w:szCs w:val="20"/>
      <w:lang w:val="lv-LV"/>
    </w:rPr>
  </w:style>
  <w:style w:type="paragraph" w:styleId="TOC1">
    <w:name w:val="toc 1"/>
    <w:basedOn w:val="Normal"/>
    <w:next w:val="Normal"/>
    <w:autoRedefine/>
    <w:uiPriority w:val="39"/>
    <w:unhideWhenUsed/>
    <w:rsid w:val="000D67AB"/>
    <w:pPr>
      <w:spacing w:after="100" w:line="264" w:lineRule="auto"/>
      <w:jc w:val="both"/>
    </w:pPr>
    <w:rPr>
      <w:rFonts w:ascii="Tahoma" w:eastAsia="Times New Roman" w:hAnsi="Tahoma" w:cs="Times New Roman"/>
      <w:sz w:val="20"/>
      <w:szCs w:val="20"/>
      <w:lang w:val="lv-LV"/>
    </w:rPr>
  </w:style>
  <w:style w:type="paragraph" w:styleId="EndnoteText">
    <w:name w:val="endnote text"/>
    <w:basedOn w:val="Normal"/>
    <w:link w:val="EndnoteTextChar"/>
    <w:uiPriority w:val="99"/>
    <w:semiHidden/>
    <w:unhideWhenUsed/>
    <w:rsid w:val="000D67AB"/>
    <w:pPr>
      <w:spacing w:after="0" w:line="240" w:lineRule="auto"/>
      <w:jc w:val="both"/>
    </w:pPr>
    <w:rPr>
      <w:rFonts w:ascii="Tahoma" w:eastAsia="Times New Roman" w:hAnsi="Tahoma" w:cs="Times New Roman"/>
      <w:sz w:val="20"/>
      <w:szCs w:val="20"/>
      <w:lang w:val="lv-LV"/>
    </w:rPr>
  </w:style>
  <w:style w:type="character" w:customStyle="1" w:styleId="EndnoteTextChar">
    <w:name w:val="Endnote Text Char"/>
    <w:basedOn w:val="DefaultParagraphFont"/>
    <w:link w:val="EndnoteText"/>
    <w:uiPriority w:val="99"/>
    <w:semiHidden/>
    <w:rsid w:val="000D67AB"/>
    <w:rPr>
      <w:rFonts w:ascii="Tahoma" w:eastAsia="Times New Roman" w:hAnsi="Tahoma" w:cs="Times New Roman"/>
      <w:sz w:val="20"/>
      <w:szCs w:val="20"/>
      <w:lang w:val="lv-LV"/>
    </w:rPr>
  </w:style>
  <w:style w:type="character" w:styleId="EndnoteReference">
    <w:name w:val="endnote reference"/>
    <w:basedOn w:val="DefaultParagraphFont"/>
    <w:uiPriority w:val="99"/>
    <w:semiHidden/>
    <w:unhideWhenUsed/>
    <w:rsid w:val="000D67AB"/>
    <w:rPr>
      <w:vertAlign w:val="superscript"/>
    </w:rPr>
  </w:style>
  <w:style w:type="paragraph" w:customStyle="1" w:styleId="font--serif">
    <w:name w:val="font--serif"/>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rsid w:val="000D67AB"/>
    <w:pPr>
      <w:spacing w:after="100" w:line="264" w:lineRule="auto"/>
      <w:ind w:left="440"/>
      <w:jc w:val="both"/>
    </w:pPr>
    <w:rPr>
      <w:rFonts w:ascii="Tahoma" w:eastAsia="Times New Roman" w:hAnsi="Tahoma" w:cs="Times New Roman"/>
      <w:sz w:val="20"/>
      <w:szCs w:val="20"/>
      <w:lang w:val="lv-LV"/>
    </w:rPr>
  </w:style>
  <w:style w:type="paragraph" w:customStyle="1" w:styleId="Tabula1">
    <w:name w:val="Tabula1"/>
    <w:basedOn w:val="Normal"/>
    <w:next w:val="Normal"/>
    <w:uiPriority w:val="29"/>
    <w:qFormat/>
    <w:rsid w:val="000D67AB"/>
    <w:pPr>
      <w:spacing w:before="160" w:after="120" w:line="264" w:lineRule="auto"/>
      <w:ind w:left="720" w:right="720"/>
      <w:jc w:val="both"/>
    </w:pPr>
    <w:rPr>
      <w:rFonts w:ascii="Tahoma" w:eastAsia="Times New Roman" w:hAnsi="Tahoma" w:cs="Times New Roman"/>
      <w:i/>
      <w:iCs/>
      <w:color w:val="404040"/>
      <w:sz w:val="20"/>
      <w:szCs w:val="20"/>
      <w:lang w:val="lv-LV"/>
    </w:rPr>
  </w:style>
  <w:style w:type="character" w:customStyle="1" w:styleId="QuoteChar">
    <w:name w:val="Quote Char"/>
    <w:basedOn w:val="DefaultParagraphFont"/>
    <w:link w:val="Quote"/>
    <w:uiPriority w:val="29"/>
    <w:rsid w:val="000D67AB"/>
    <w:rPr>
      <w:rFonts w:ascii="Tahoma" w:eastAsia="Times New Roman" w:hAnsi="Tahoma"/>
      <w:i/>
      <w:iCs/>
      <w:color w:val="404040"/>
      <w:sz w:val="20"/>
      <w:szCs w:val="20"/>
      <w:lang w:val="lv-LV"/>
    </w:rPr>
  </w:style>
  <w:style w:type="table" w:customStyle="1" w:styleId="ListTable2-Accent31">
    <w:name w:val="List Table 2 - Accent 3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11">
    <w:name w:val="List Table 3 - Accent 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1Light-Accent31">
    <w:name w:val="Grid Table 1 Light - Accent 3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MEstils1">
    <w:name w:val="ME stils 1"/>
    <w:basedOn w:val="Normal"/>
    <w:link w:val="MEstils1Rakstz"/>
    <w:rsid w:val="000D67AB"/>
    <w:pPr>
      <w:spacing w:after="120" w:line="264" w:lineRule="auto"/>
      <w:jc w:val="both"/>
    </w:pPr>
    <w:rPr>
      <w:rFonts w:ascii="Tahoma" w:eastAsia="Times New Roman" w:hAnsi="Tahoma" w:cs="Times New Roman"/>
      <w:sz w:val="24"/>
      <w:lang w:val="lv-LV"/>
    </w:rPr>
  </w:style>
  <w:style w:type="character" w:customStyle="1" w:styleId="MEstils1Rakstz">
    <w:name w:val="ME stils 1 Rakstz."/>
    <w:basedOn w:val="DefaultParagraphFont"/>
    <w:link w:val="MEstils1"/>
    <w:rsid w:val="000D67AB"/>
    <w:rPr>
      <w:rFonts w:ascii="Tahoma" w:eastAsia="Times New Roman" w:hAnsi="Tahoma" w:cs="Times New Roman"/>
      <w:sz w:val="24"/>
      <w:lang w:val="lv-LV"/>
    </w:rPr>
  </w:style>
  <w:style w:type="character" w:customStyle="1" w:styleId="UnresolvedMention2">
    <w:name w:val="Unresolved Mention2"/>
    <w:basedOn w:val="DefaultParagraphFont"/>
    <w:uiPriority w:val="99"/>
    <w:semiHidden/>
    <w:unhideWhenUsed/>
    <w:rsid w:val="000D67AB"/>
    <w:rPr>
      <w:color w:val="605E5C"/>
      <w:shd w:val="clear" w:color="auto" w:fill="E1DFDD"/>
    </w:rPr>
  </w:style>
  <w:style w:type="character" w:customStyle="1" w:styleId="UnresolvedMention3">
    <w:name w:val="Unresolved Mention3"/>
    <w:basedOn w:val="DefaultParagraphFont"/>
    <w:uiPriority w:val="99"/>
    <w:semiHidden/>
    <w:unhideWhenUsed/>
    <w:rsid w:val="000D67AB"/>
    <w:rPr>
      <w:color w:val="605E5C"/>
      <w:shd w:val="clear" w:color="auto" w:fill="E1DFDD"/>
    </w:rPr>
  </w:style>
  <w:style w:type="table" w:customStyle="1" w:styleId="LightList-Accent31">
    <w:name w:val="Light List - Accent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Table3-Accent31">
    <w:name w:val="List Table 3 - Accent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4">
    <w:name w:val="Unresolved Mention4"/>
    <w:basedOn w:val="DefaultParagraphFont"/>
    <w:uiPriority w:val="99"/>
    <w:semiHidden/>
    <w:unhideWhenUsed/>
    <w:rsid w:val="000D67AB"/>
    <w:rPr>
      <w:color w:val="605E5C"/>
      <w:shd w:val="clear" w:color="auto" w:fill="E1DFDD"/>
    </w:rPr>
  </w:style>
  <w:style w:type="paragraph" w:customStyle="1" w:styleId="Reference">
    <w:name w:val="Reference"/>
    <w:basedOn w:val="FootnoteText"/>
    <w:link w:val="ReferenceChar"/>
    <w:qFormat/>
    <w:rsid w:val="000D67AB"/>
    <w:pPr>
      <w:jc w:val="both"/>
    </w:pPr>
    <w:rPr>
      <w:rFonts w:ascii="Tahoma" w:eastAsia="SimSun" w:hAnsi="Tahoma"/>
      <w:color w:val="404040"/>
      <w:sz w:val="16"/>
      <w:lang w:val="en-GB" w:eastAsia="zh-CN"/>
    </w:rPr>
  </w:style>
  <w:style w:type="character" w:customStyle="1" w:styleId="ReferenceChar">
    <w:name w:val="Reference Char"/>
    <w:basedOn w:val="FootnoteTextChar"/>
    <w:link w:val="Reference"/>
    <w:rsid w:val="000D67AB"/>
    <w:rPr>
      <w:rFonts w:ascii="Tahoma" w:eastAsia="SimSun" w:hAnsi="Tahoma" w:cs="Times New Roman"/>
      <w:color w:val="404040"/>
      <w:sz w:val="16"/>
      <w:szCs w:val="20"/>
      <w:lang w:val="en-GB" w:eastAsia="zh-CN"/>
    </w:rPr>
  </w:style>
  <w:style w:type="paragraph" w:customStyle="1" w:styleId="Title1">
    <w:name w:val="Title1"/>
    <w:basedOn w:val="Normal"/>
    <w:next w:val="Normal"/>
    <w:uiPriority w:val="10"/>
    <w:qFormat/>
    <w:rsid w:val="000D67AB"/>
    <w:pPr>
      <w:spacing w:after="0" w:line="240" w:lineRule="auto"/>
      <w:contextualSpacing/>
      <w:jc w:val="both"/>
    </w:pPr>
    <w:rPr>
      <w:rFonts w:ascii="Calibri Light" w:eastAsia="Times New Roman" w:hAnsi="Calibri Light" w:cs="Times New Roman"/>
      <w:color w:val="4472C4"/>
      <w:spacing w:val="-10"/>
      <w:sz w:val="56"/>
      <w:szCs w:val="56"/>
      <w:lang w:val="lv-LV"/>
    </w:rPr>
  </w:style>
  <w:style w:type="character" w:customStyle="1" w:styleId="TitleChar">
    <w:name w:val="Title Char"/>
    <w:basedOn w:val="DefaultParagraphFont"/>
    <w:link w:val="Title"/>
    <w:uiPriority w:val="10"/>
    <w:rsid w:val="000D67AB"/>
    <w:rPr>
      <w:rFonts w:ascii="Calibri Light" w:eastAsia="Times New Roman" w:hAnsi="Calibri Light" w:cs="Times New Roman"/>
      <w:color w:val="4472C4"/>
      <w:spacing w:val="-10"/>
      <w:sz w:val="56"/>
      <w:szCs w:val="56"/>
      <w:lang w:val="lv-LV"/>
    </w:rPr>
  </w:style>
  <w:style w:type="character" w:customStyle="1" w:styleId="SubtleReference1">
    <w:name w:val="Subtle Reference1"/>
    <w:basedOn w:val="DefaultParagraphFont"/>
    <w:uiPriority w:val="31"/>
    <w:qFormat/>
    <w:rsid w:val="000D67AB"/>
    <w:rPr>
      <w:smallCaps/>
      <w:color w:val="404040"/>
      <w:u w:val="single" w:color="7F7F7F"/>
    </w:rPr>
  </w:style>
  <w:style w:type="character" w:styleId="IntenseReference">
    <w:name w:val="Intense Reference"/>
    <w:basedOn w:val="DefaultParagraphFont"/>
    <w:uiPriority w:val="32"/>
    <w:qFormat/>
    <w:rsid w:val="000D67AB"/>
    <w:rPr>
      <w:b/>
      <w:bCs/>
      <w:smallCaps/>
      <w:spacing w:val="5"/>
      <w:u w:val="single"/>
    </w:rPr>
  </w:style>
  <w:style w:type="character" w:styleId="BookTitle">
    <w:name w:val="Book Title"/>
    <w:basedOn w:val="DefaultParagraphFont"/>
    <w:uiPriority w:val="33"/>
    <w:qFormat/>
    <w:rsid w:val="000D67AB"/>
    <w:rPr>
      <w:b/>
      <w:bCs/>
      <w:smallCaps/>
    </w:rPr>
  </w:style>
  <w:style w:type="table" w:customStyle="1" w:styleId="GridTable3-Accent31">
    <w:name w:val="Grid Table 3 - Accent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gd">
    <w:name w:val="gd"/>
    <w:basedOn w:val="DefaultParagraphFont"/>
    <w:rsid w:val="000D67AB"/>
  </w:style>
  <w:style w:type="character" w:customStyle="1" w:styleId="UnresolvedMention5">
    <w:name w:val="Unresolved Mention5"/>
    <w:basedOn w:val="DefaultParagraphFont"/>
    <w:uiPriority w:val="99"/>
    <w:semiHidden/>
    <w:unhideWhenUsed/>
    <w:rsid w:val="000D67AB"/>
    <w:rPr>
      <w:color w:val="605E5C"/>
      <w:shd w:val="clear" w:color="auto" w:fill="E1DFDD"/>
    </w:rPr>
  </w:style>
  <w:style w:type="paragraph" w:customStyle="1" w:styleId="Normal1">
    <w:name w:val="Normal1"/>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paragraph" w:customStyle="1" w:styleId="doc-ti">
    <w:name w:val="doc-ti"/>
    <w:basedOn w:val="Normal"/>
    <w:rsid w:val="000D67AB"/>
    <w:pPr>
      <w:spacing w:before="100" w:beforeAutospacing="1" w:after="100" w:afterAutospacing="1" w:line="240" w:lineRule="auto"/>
      <w:jc w:val="both"/>
    </w:pPr>
    <w:rPr>
      <w:rFonts w:ascii="Times New Roman" w:eastAsia="Times New Roman" w:hAnsi="Times New Roman" w:cs="Times New Roman"/>
      <w:sz w:val="24"/>
      <w:szCs w:val="24"/>
      <w:lang w:val="lv-LV" w:eastAsia="lv-LV"/>
    </w:rPr>
  </w:style>
  <w:style w:type="character" w:customStyle="1" w:styleId="UnresolvedMention6">
    <w:name w:val="Unresolved Mention6"/>
    <w:basedOn w:val="DefaultParagraphFont"/>
    <w:uiPriority w:val="99"/>
    <w:semiHidden/>
    <w:unhideWhenUsed/>
    <w:rsid w:val="000D67AB"/>
    <w:rPr>
      <w:color w:val="808080"/>
      <w:shd w:val="clear" w:color="auto" w:fill="E6E6E6"/>
    </w:rPr>
  </w:style>
  <w:style w:type="paragraph" w:customStyle="1" w:styleId="Parastais">
    <w:name w:val="Parastais"/>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UnresolvedMention7">
    <w:name w:val="Unresolved Mention7"/>
    <w:basedOn w:val="DefaultParagraphFont"/>
    <w:uiPriority w:val="99"/>
    <w:semiHidden/>
    <w:unhideWhenUsed/>
    <w:rsid w:val="000D67AB"/>
    <w:rPr>
      <w:color w:val="605E5C"/>
      <w:shd w:val="clear" w:color="auto" w:fill="E1DFDD"/>
    </w:rPr>
  </w:style>
  <w:style w:type="table" w:customStyle="1" w:styleId="PlainTable11">
    <w:name w:val="Plain Table 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0D67AB"/>
    <w:rPr>
      <w:color w:val="605E5C"/>
      <w:shd w:val="clear" w:color="auto" w:fill="E1DFDD"/>
    </w:rPr>
  </w:style>
  <w:style w:type="character" w:customStyle="1" w:styleId="UnresolvedMention9">
    <w:name w:val="Unresolved Mention9"/>
    <w:basedOn w:val="DefaultParagraphFont"/>
    <w:uiPriority w:val="99"/>
    <w:semiHidden/>
    <w:unhideWhenUsed/>
    <w:rsid w:val="000D67AB"/>
    <w:rPr>
      <w:color w:val="605E5C"/>
      <w:shd w:val="clear" w:color="auto" w:fill="E1DFDD"/>
    </w:rPr>
  </w:style>
  <w:style w:type="paragraph" w:customStyle="1" w:styleId="petijums">
    <w:name w:val="petijums"/>
    <w:basedOn w:val="Normal"/>
    <w:qFormat/>
    <w:rsid w:val="000D67AB"/>
    <w:pPr>
      <w:tabs>
        <w:tab w:val="left" w:pos="1701"/>
      </w:tabs>
      <w:spacing w:after="120" w:line="240" w:lineRule="auto"/>
      <w:jc w:val="both"/>
    </w:pPr>
    <w:rPr>
      <w:rFonts w:ascii="Tahoma" w:eastAsia="Times New Roman" w:hAnsi="Tahoma" w:cs="Tahoma"/>
      <w:sz w:val="20"/>
      <w:szCs w:val="20"/>
      <w:lang w:val="lv-LV" w:eastAsia="lv-LV"/>
    </w:rPr>
  </w:style>
  <w:style w:type="table" w:customStyle="1" w:styleId="GridTable1Light-Accent61">
    <w:name w:val="Grid Table 1 Light - Accent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0D67AB"/>
    <w:rPr>
      <w:color w:val="808080"/>
    </w:rPr>
  </w:style>
  <w:style w:type="character" w:customStyle="1" w:styleId="UnresolvedMention100">
    <w:name w:val="Unresolved Mention10"/>
    <w:basedOn w:val="DefaultParagraphFont"/>
    <w:uiPriority w:val="99"/>
    <w:semiHidden/>
    <w:unhideWhenUsed/>
    <w:rsid w:val="000D67AB"/>
    <w:rPr>
      <w:color w:val="605E5C"/>
      <w:shd w:val="clear" w:color="auto" w:fill="E1DFDD"/>
    </w:rPr>
  </w:style>
  <w:style w:type="character" w:customStyle="1" w:styleId="UnresolvedMention11">
    <w:name w:val="Unresolved Mention11"/>
    <w:basedOn w:val="DefaultParagraphFont"/>
    <w:uiPriority w:val="99"/>
    <w:semiHidden/>
    <w:unhideWhenUsed/>
    <w:rsid w:val="000D67AB"/>
    <w:rPr>
      <w:color w:val="605E5C"/>
      <w:shd w:val="clear" w:color="auto" w:fill="E1DFDD"/>
    </w:rPr>
  </w:style>
  <w:style w:type="paragraph" w:customStyle="1" w:styleId="TOC41">
    <w:name w:val="TOC 41"/>
    <w:basedOn w:val="Normal"/>
    <w:next w:val="Normal"/>
    <w:autoRedefine/>
    <w:uiPriority w:val="39"/>
    <w:unhideWhenUsed/>
    <w:rsid w:val="000D67AB"/>
    <w:pPr>
      <w:spacing w:after="100"/>
      <w:ind w:left="660"/>
    </w:pPr>
    <w:rPr>
      <w:rFonts w:ascii="Calibri" w:eastAsia="Times New Roman" w:hAnsi="Calibri" w:cs="Times New Roman"/>
      <w:lang w:val="lv-LV" w:eastAsia="lv-LV"/>
    </w:rPr>
  </w:style>
  <w:style w:type="paragraph" w:customStyle="1" w:styleId="TOC51">
    <w:name w:val="TOC 51"/>
    <w:basedOn w:val="Normal"/>
    <w:next w:val="Normal"/>
    <w:autoRedefine/>
    <w:uiPriority w:val="39"/>
    <w:unhideWhenUsed/>
    <w:rsid w:val="000D67AB"/>
    <w:pPr>
      <w:spacing w:after="100"/>
      <w:ind w:left="880"/>
    </w:pPr>
    <w:rPr>
      <w:rFonts w:ascii="Calibri" w:eastAsia="Times New Roman" w:hAnsi="Calibri" w:cs="Times New Roman"/>
      <w:lang w:val="lv-LV" w:eastAsia="lv-LV"/>
    </w:rPr>
  </w:style>
  <w:style w:type="paragraph" w:customStyle="1" w:styleId="TOC61">
    <w:name w:val="TOC 61"/>
    <w:basedOn w:val="Normal"/>
    <w:next w:val="Normal"/>
    <w:autoRedefine/>
    <w:uiPriority w:val="39"/>
    <w:unhideWhenUsed/>
    <w:rsid w:val="000D67AB"/>
    <w:pPr>
      <w:spacing w:after="100"/>
      <w:ind w:left="1100"/>
    </w:pPr>
    <w:rPr>
      <w:rFonts w:ascii="Calibri" w:eastAsia="Times New Roman" w:hAnsi="Calibri" w:cs="Times New Roman"/>
      <w:lang w:val="lv-LV" w:eastAsia="lv-LV"/>
    </w:rPr>
  </w:style>
  <w:style w:type="paragraph" w:customStyle="1" w:styleId="TOC71">
    <w:name w:val="TOC 71"/>
    <w:basedOn w:val="Normal"/>
    <w:next w:val="Normal"/>
    <w:autoRedefine/>
    <w:uiPriority w:val="39"/>
    <w:unhideWhenUsed/>
    <w:rsid w:val="000D67AB"/>
    <w:pPr>
      <w:spacing w:after="100"/>
      <w:ind w:left="1320"/>
    </w:pPr>
    <w:rPr>
      <w:rFonts w:ascii="Calibri" w:eastAsia="Times New Roman" w:hAnsi="Calibri" w:cs="Times New Roman"/>
      <w:lang w:val="lv-LV" w:eastAsia="lv-LV"/>
    </w:rPr>
  </w:style>
  <w:style w:type="paragraph" w:customStyle="1" w:styleId="TOC81">
    <w:name w:val="TOC 81"/>
    <w:basedOn w:val="Normal"/>
    <w:next w:val="Normal"/>
    <w:autoRedefine/>
    <w:uiPriority w:val="39"/>
    <w:unhideWhenUsed/>
    <w:rsid w:val="000D67AB"/>
    <w:pPr>
      <w:spacing w:after="100"/>
      <w:ind w:left="1540"/>
    </w:pPr>
    <w:rPr>
      <w:rFonts w:ascii="Calibri" w:eastAsia="Times New Roman" w:hAnsi="Calibri" w:cs="Times New Roman"/>
      <w:lang w:val="lv-LV" w:eastAsia="lv-LV"/>
    </w:rPr>
  </w:style>
  <w:style w:type="paragraph" w:customStyle="1" w:styleId="TOC91">
    <w:name w:val="TOC 91"/>
    <w:basedOn w:val="Normal"/>
    <w:next w:val="Normal"/>
    <w:autoRedefine/>
    <w:uiPriority w:val="39"/>
    <w:unhideWhenUsed/>
    <w:rsid w:val="000D67AB"/>
    <w:pPr>
      <w:spacing w:after="100"/>
      <w:ind w:left="1760"/>
    </w:pPr>
    <w:rPr>
      <w:rFonts w:ascii="Calibri" w:eastAsia="Times New Roman" w:hAnsi="Calibri" w:cs="Times New Roman"/>
      <w:lang w:val="lv-LV" w:eastAsia="lv-LV"/>
    </w:rPr>
  </w:style>
  <w:style w:type="paragraph" w:customStyle="1" w:styleId="ListParagraph2">
    <w:name w:val="List Paragraph2"/>
    <w:basedOn w:val="Normal"/>
    <w:rsid w:val="000D67AB"/>
    <w:pPr>
      <w:suppressAutoHyphens/>
      <w:spacing w:after="200" w:line="276" w:lineRule="auto"/>
      <w:ind w:left="720"/>
    </w:pPr>
    <w:rPr>
      <w:rFonts w:ascii="Calibri" w:eastAsia="Calibri" w:hAnsi="Calibri" w:cs="Calibri"/>
      <w:lang w:val="lv-LV" w:eastAsia="zh-CN"/>
    </w:rPr>
  </w:style>
  <w:style w:type="character" w:customStyle="1" w:styleId="ListLabel12">
    <w:name w:val="ListLabel 12"/>
    <w:qFormat/>
    <w:rsid w:val="000D67AB"/>
    <w:rPr>
      <w:lang w:val="lv-LV"/>
    </w:rPr>
  </w:style>
  <w:style w:type="numbering" w:customStyle="1" w:styleId="Bezsaraksta1">
    <w:name w:val="Bez saraksta1"/>
    <w:next w:val="NoList"/>
    <w:uiPriority w:val="99"/>
    <w:semiHidden/>
    <w:unhideWhenUsed/>
    <w:rsid w:val="000D67AB"/>
  </w:style>
  <w:style w:type="table" w:customStyle="1" w:styleId="companyTable4">
    <w:name w:val="companyTable4"/>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11">
    <w:name w:val="companyTable1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1">
    <w:name w:val="companyTable2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1">
    <w:name w:val="companyTable31"/>
    <w:uiPriority w:val="99"/>
    <w:rsid w:val="000D67AB"/>
    <w:pPr>
      <w:spacing w:after="200" w:line="276" w:lineRule="auto"/>
    </w:pPr>
    <w:rPr>
      <w:rFonts w:ascii="Calibri" w:eastAsia="Calibri" w:hAnsi="Calibri" w:cs="Calibri"/>
      <w:sz w:val="20"/>
      <w:szCs w:val="20"/>
      <w:lang w:val="lv-LV"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Reatabula1">
    <w:name w:val="Režģa tabula1"/>
    <w:basedOn w:val="TableNormal"/>
    <w:next w:val="TableGrid"/>
    <w:uiPriority w:val="59"/>
    <w:rsid w:val="000D67AB"/>
    <w:pPr>
      <w:spacing w:after="0" w:line="240" w:lineRule="auto"/>
    </w:pPr>
    <w:rPr>
      <w:rFonts w:ascii="Calibri" w:eastAsia="Times New Roman"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imebullet1">
    <w:name w:val="Time bullet1"/>
    <w:basedOn w:val="NoList"/>
    <w:uiPriority w:val="99"/>
    <w:rsid w:val="000D67AB"/>
    <w:pPr>
      <w:numPr>
        <w:numId w:val="57"/>
      </w:numPr>
    </w:pPr>
  </w:style>
  <w:style w:type="table" w:customStyle="1" w:styleId="PG1">
    <w:name w:val="P&amp;G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ListTable7Colorful-Accent111">
    <w:name w:val="List Table 7 Colorful - Accent 111"/>
    <w:basedOn w:val="TableNormal"/>
    <w:uiPriority w:val="52"/>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4F81BD"/>
        </w:tcBorders>
        <w:shd w:val="clear" w:color="auto" w:fill="FFFFFF"/>
      </w:tcPr>
    </w:tblStylePr>
    <w:tblStylePr w:type="lastRow">
      <w:rPr>
        <w:rFonts w:ascii="Segoe UI" w:eastAsia="Times New Roman" w:hAnsi="Segoe UI" w:cs="Times New Roman"/>
        <w:i/>
        <w:iCs/>
        <w:sz w:val="26"/>
      </w:rPr>
      <w:tblPr/>
      <w:tcPr>
        <w:tcBorders>
          <w:top w:val="single" w:sz="4" w:space="0" w:color="4F81BD"/>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4F81BD"/>
        </w:tcBorders>
        <w:shd w:val="clear" w:color="auto" w:fill="FFFFFF"/>
      </w:tcPr>
    </w:tblStylePr>
    <w:tblStylePr w:type="lastCol">
      <w:rPr>
        <w:rFonts w:ascii="Segoe UI" w:eastAsia="Times New Roman" w:hAnsi="Segoe UI"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1">
    <w:name w:val="List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blStylePr w:type="firstRow">
      <w:rPr>
        <w:rFonts w:ascii="Segoe UI" w:eastAsia="Times New Roman" w:hAnsi="Segoe UI" w:cs="Times New Roman"/>
        <w:i/>
        <w:iCs/>
        <w:sz w:val="26"/>
      </w:rPr>
      <w:tblPr/>
      <w:tcPr>
        <w:tcBorders>
          <w:bottom w:val="single" w:sz="4" w:space="0" w:color="000000"/>
        </w:tcBorders>
        <w:shd w:val="clear" w:color="auto" w:fill="FFFFFF"/>
      </w:tcPr>
    </w:tblStylePr>
    <w:tblStylePr w:type="lastRow">
      <w:rPr>
        <w:rFonts w:ascii="Segoe UI" w:eastAsia="Times New Roman" w:hAnsi="Segoe UI" w:cs="Times New Roman"/>
        <w:i/>
        <w:iCs/>
        <w:sz w:val="26"/>
      </w:rPr>
      <w:tblPr/>
      <w:tcPr>
        <w:tcBorders>
          <w:top w:val="single" w:sz="4" w:space="0" w:color="000000"/>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000000"/>
        </w:tcBorders>
        <w:shd w:val="clear" w:color="auto" w:fill="FFFFFF"/>
      </w:tcPr>
    </w:tblStylePr>
    <w:tblStylePr w:type="lastCol">
      <w:rPr>
        <w:rFonts w:ascii="Segoe UI" w:eastAsia="Times New Roman" w:hAnsi="Segoe UI"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1">
    <w:name w:val="Grid Table 5 Dark11"/>
    <w:basedOn w:val="TableNormal"/>
    <w:uiPriority w:val="50"/>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F81BD"/>
        <w:vAlign w:val="center"/>
      </w:tcPr>
    </w:tblStylePr>
    <w:tblStylePr w:type="lastRow">
      <w:rPr>
        <w:b/>
        <w:bCs/>
        <w:color w:val="FFFFFF"/>
      </w:rPr>
      <w:tblPr/>
      <w:tcPr>
        <w:shd w:val="clear" w:color="auto" w:fill="9BBB59"/>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9BBB59"/>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1">
    <w:name w:val="P&amp;G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PGtimetable1">
    <w:name w:val="P&amp;G time table1"/>
    <w:basedOn w:val="TableNormal"/>
    <w:uiPriority w:val="49"/>
    <w:rsid w:val="000D67AB"/>
    <w:pPr>
      <w:spacing w:after="0" w:line="240" w:lineRule="auto"/>
    </w:pPr>
    <w:rPr>
      <w:rFonts w:ascii="Avenir LT Std 45 Book" w:eastAsia="Times New Roman" w:hAnsi="Avenir LT Std 45 Book" w:cs="Times New Roman"/>
      <w:color w:val="000000"/>
      <w:sz w:val="20"/>
      <w:szCs w:val="20"/>
      <w:lang w:val="lv-LV"/>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1">
    <w:name w:val="Time table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ridTable5Dark-Accent511">
    <w:name w:val="Grid Table 5 Dark - Accent 511"/>
    <w:basedOn w:val="TableNormal"/>
    <w:uiPriority w:val="50"/>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613">
    <w:name w:val="Grid Table 4 - Accent 613"/>
    <w:basedOn w:val="TableNormal"/>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1">
    <w:name w:val="Grid Table 4 - Accent 612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1">
    <w:name w:val="Grid Table 4 - Accent 6111"/>
    <w:basedOn w:val="TableNormal"/>
    <w:next w:val="GridTable4-Accent61"/>
    <w:uiPriority w:val="49"/>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1">
    <w:name w:val="Grid Table 4 - Accent 1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411">
    <w:name w:val="Grid Table 4 - Accent 411"/>
    <w:basedOn w:val="TableNormal"/>
    <w:uiPriority w:val="49"/>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11">
    <w:name w:val="Grid Table 7 Colorful11"/>
    <w:basedOn w:val="TableNormal"/>
    <w:uiPriority w:val="52"/>
    <w:rsid w:val="000D67AB"/>
    <w:pPr>
      <w:spacing w:after="0" w:line="240" w:lineRule="auto"/>
    </w:pPr>
    <w:rPr>
      <w:rFonts w:ascii="Calibri" w:eastAsia="Times New Roman" w:hAnsi="Calibri" w:cs="Times New Roman"/>
      <w:color w:val="000000"/>
      <w:sz w:val="20"/>
      <w:szCs w:val="20"/>
      <w:lang w:val="lv-LV"/>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1">
    <w:name w:val="listTable1"/>
    <w:uiPriority w:val="99"/>
    <w:rsid w:val="000D67AB"/>
    <w:pPr>
      <w:spacing w:after="200" w:line="276" w:lineRule="auto"/>
    </w:pPr>
    <w:rPr>
      <w:rFonts w:ascii="Calibri" w:eastAsia="Calibri" w:hAnsi="Calibri" w:cs="Calibri"/>
      <w:sz w:val="20"/>
      <w:szCs w:val="20"/>
      <w:lang w:val="lv-LV"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1">
    <w:name w:val="test1"/>
    <w:basedOn w:val="TableNormal"/>
    <w:uiPriority w:val="99"/>
    <w:rsid w:val="000D67AB"/>
    <w:pPr>
      <w:spacing w:after="0" w:line="240" w:lineRule="auto"/>
    </w:pPr>
    <w:rPr>
      <w:rFonts w:ascii="Calibri" w:eastAsia="Times New Roman" w:hAnsi="Calibri" w:cs="Times New Roman"/>
      <w:sz w:val="20"/>
      <w:szCs w:val="20"/>
      <w:lang w:val="lv-LV"/>
    </w:rPr>
    <w:tblPr/>
  </w:style>
  <w:style w:type="table" w:customStyle="1" w:styleId="Gaisnojumsizclums11">
    <w:name w:val="Gaišs ēnojums — izcēlums 11"/>
    <w:basedOn w:val="TableNormal"/>
    <w:next w:val="LightShading-Accent11"/>
    <w:uiPriority w:val="60"/>
    <w:semiHidden/>
    <w:unhideWhenUsed/>
    <w:rsid w:val="000D67AB"/>
    <w:pPr>
      <w:spacing w:after="0" w:line="240" w:lineRule="auto"/>
    </w:pPr>
    <w:rPr>
      <w:rFonts w:ascii="Calibri" w:eastAsia="Times New Roman" w:hAnsi="Calibri" w:cs="Times New Roman"/>
      <w:color w:val="365F91"/>
      <w:sz w:val="20"/>
      <w:szCs w:val="20"/>
      <w:lang w:val="lv-LV"/>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aisnojumsizclums41">
    <w:name w:val="Gaišs ēnojums — izcēlums 41"/>
    <w:basedOn w:val="TableNormal"/>
    <w:next w:val="LightShading-Accent4"/>
    <w:uiPriority w:val="60"/>
    <w:semiHidden/>
    <w:unhideWhenUsed/>
    <w:rsid w:val="000D67AB"/>
    <w:pPr>
      <w:spacing w:after="0" w:line="240" w:lineRule="auto"/>
    </w:pPr>
    <w:rPr>
      <w:rFonts w:ascii="Calibri" w:eastAsia="Times New Roman" w:hAnsi="Calibri" w:cs="Times New Roman"/>
      <w:color w:val="5F497A"/>
      <w:sz w:val="20"/>
      <w:szCs w:val="20"/>
      <w:lang w:val="lv-LV"/>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2-Accent311">
    <w:name w:val="List Table 2 - Accent 311"/>
    <w:basedOn w:val="TableNormal"/>
    <w:uiPriority w:val="47"/>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111">
    <w:name w:val="List Table 3 - Accent 11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1Light-Accent311">
    <w:name w:val="Grid Table 1 Light - Accent 311"/>
    <w:basedOn w:val="TableNormal"/>
    <w:uiPriority w:val="46"/>
    <w:rsid w:val="000D67AB"/>
    <w:pPr>
      <w:spacing w:after="0" w:line="240" w:lineRule="auto"/>
    </w:pPr>
    <w:rPr>
      <w:rFonts w:ascii="Calibri" w:eastAsia="Times New Roman" w:hAnsi="Calibri" w:cs="Times New Roman"/>
      <w:sz w:val="20"/>
      <w:szCs w:val="20"/>
      <w:lang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aissarakstsizclums31">
    <w:name w:val="Gaišs saraksts — izcēlums 31"/>
    <w:basedOn w:val="TableNormal"/>
    <w:next w:val="LightList-Accent3"/>
    <w:uiPriority w:val="61"/>
    <w:rsid w:val="000D67AB"/>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arakstatabula3-izclums31">
    <w:name w:val="Saraksta tabula 3 - izcēlums 31"/>
    <w:basedOn w:val="TableNormal"/>
    <w:uiPriority w:val="48"/>
    <w:rsid w:val="000D67AB"/>
    <w:pPr>
      <w:spacing w:after="0" w:line="240" w:lineRule="auto"/>
    </w:pPr>
    <w:rPr>
      <w:rFonts w:ascii="Calibri" w:eastAsia="Times New Roman" w:hAnsi="Calibri" w:cs="Times New Roman"/>
      <w:sz w:val="20"/>
      <w:szCs w:val="20"/>
      <w:lang w:val="lv-LV"/>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Reatabula3-izclums31">
    <w:name w:val="Režģa tabula 3 - izcēlums 31"/>
    <w:basedOn w:val="TableNormal"/>
    <w:uiPriority w:val="48"/>
    <w:rsid w:val="000D67AB"/>
    <w:pPr>
      <w:spacing w:after="0" w:line="240" w:lineRule="auto"/>
    </w:pPr>
    <w:rPr>
      <w:rFonts w:ascii="Calibri" w:eastAsia="Calibri" w:hAnsi="Calibri" w:cs="Times New Roman"/>
      <w:lang w:val="lv-LV"/>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Vienkratabula11">
    <w:name w:val="Vienkārša tabula_11"/>
    <w:basedOn w:val="TableNormal"/>
    <w:uiPriority w:val="41"/>
    <w:rsid w:val="000D67AB"/>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 Grid31"/>
    <w:basedOn w:val="TableNormal"/>
    <w:next w:val="TableGrid"/>
    <w:uiPriority w:val="59"/>
    <w:rsid w:val="000D67A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gaia-izclums61">
    <w:name w:val="Režģa tabula 1 gaiša - izcēlums 61"/>
    <w:basedOn w:val="TableNormal"/>
    <w:uiPriority w:val="46"/>
    <w:rsid w:val="000D67AB"/>
    <w:pPr>
      <w:spacing w:after="0" w:line="240" w:lineRule="auto"/>
    </w:pPr>
    <w:rPr>
      <w:rFonts w:ascii="Calibri" w:eastAsia="Calibri" w:hAnsi="Calibri" w:cs="Times New Roman"/>
      <w:sz w:val="24"/>
      <w:szCs w:val="24"/>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UnresolvedMention111">
    <w:name w:val="Unresolved Mention111"/>
    <w:basedOn w:val="DefaultParagraphFont"/>
    <w:uiPriority w:val="99"/>
    <w:semiHidden/>
    <w:unhideWhenUsed/>
    <w:rsid w:val="000D67AB"/>
    <w:rPr>
      <w:color w:val="605E5C"/>
      <w:shd w:val="clear" w:color="auto" w:fill="E1DFDD"/>
    </w:rPr>
  </w:style>
  <w:style w:type="paragraph" w:customStyle="1" w:styleId="m-5739484091540848719msolistparagraph">
    <w:name w:val="m_-5739484091540848719msolistparagraph"/>
    <w:basedOn w:val="Normal"/>
    <w:rsid w:val="000D67A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UnresolvedMention12">
    <w:name w:val="Unresolved Mention12"/>
    <w:basedOn w:val="DefaultParagraphFont"/>
    <w:uiPriority w:val="99"/>
    <w:semiHidden/>
    <w:unhideWhenUsed/>
    <w:rsid w:val="000D67AB"/>
    <w:rPr>
      <w:color w:val="605E5C"/>
      <w:shd w:val="clear" w:color="auto" w:fill="E1DFDD"/>
    </w:rPr>
  </w:style>
  <w:style w:type="character" w:customStyle="1" w:styleId="Heading5Char1">
    <w:name w:val="Heading 5 Char1"/>
    <w:basedOn w:val="DefaultParagraphFont"/>
    <w:semiHidden/>
    <w:rsid w:val="000D67AB"/>
    <w:rPr>
      <w:rFonts w:ascii="Cambria" w:eastAsia="MS Gothic" w:hAnsi="Cambria" w:cs="Times New Roman"/>
      <w:color w:val="365F91"/>
      <w:sz w:val="24"/>
      <w:szCs w:val="24"/>
    </w:rPr>
  </w:style>
  <w:style w:type="character" w:customStyle="1" w:styleId="Heading6Char1">
    <w:name w:val="Heading 6 Char1"/>
    <w:basedOn w:val="DefaultParagraphFont"/>
    <w:semiHidden/>
    <w:rsid w:val="000D67AB"/>
    <w:rPr>
      <w:rFonts w:ascii="Cambria" w:eastAsia="MS Gothic" w:hAnsi="Cambria" w:cs="Times New Roman"/>
      <w:color w:val="243F60"/>
      <w:sz w:val="24"/>
      <w:szCs w:val="24"/>
    </w:rPr>
  </w:style>
  <w:style w:type="character" w:customStyle="1" w:styleId="Heading7Char1">
    <w:name w:val="Heading 7 Char1"/>
    <w:basedOn w:val="DefaultParagraphFont"/>
    <w:semiHidden/>
    <w:rsid w:val="000D67AB"/>
    <w:rPr>
      <w:rFonts w:ascii="Cambria" w:eastAsia="MS Gothic" w:hAnsi="Cambria" w:cs="Times New Roman"/>
      <w:i/>
      <w:iCs/>
      <w:color w:val="243F60"/>
      <w:sz w:val="24"/>
      <w:szCs w:val="24"/>
    </w:rPr>
  </w:style>
  <w:style w:type="character" w:customStyle="1" w:styleId="Heading8Char1">
    <w:name w:val="Heading 8 Char1"/>
    <w:basedOn w:val="DefaultParagraphFont"/>
    <w:semiHidden/>
    <w:rsid w:val="000D67AB"/>
    <w:rPr>
      <w:rFonts w:ascii="Cambria" w:eastAsia="MS Gothic" w:hAnsi="Cambria" w:cs="Times New Roman"/>
      <w:color w:val="272727"/>
      <w:sz w:val="21"/>
      <w:szCs w:val="21"/>
    </w:rPr>
  </w:style>
  <w:style w:type="character" w:customStyle="1" w:styleId="Heading9Char1">
    <w:name w:val="Heading 9 Char1"/>
    <w:basedOn w:val="DefaultParagraphFont"/>
    <w:semiHidden/>
    <w:rsid w:val="000D67AB"/>
    <w:rPr>
      <w:rFonts w:ascii="Cambria" w:eastAsia="MS Gothic" w:hAnsi="Cambria" w:cs="Times New Roman"/>
      <w:i/>
      <w:iCs/>
      <w:color w:val="272727"/>
      <w:sz w:val="21"/>
      <w:szCs w:val="21"/>
    </w:rPr>
  </w:style>
  <w:style w:type="paragraph" w:styleId="NoSpacing">
    <w:name w:val="No Spacing"/>
    <w:uiPriority w:val="1"/>
    <w:qFormat/>
    <w:rsid w:val="000D67AB"/>
    <w:pPr>
      <w:spacing w:after="0" w:line="240" w:lineRule="auto"/>
    </w:pPr>
    <w:rPr>
      <w:rFonts w:ascii="Times New Roman" w:eastAsia="Times New Roman" w:hAnsi="Times New Roman" w:cs="Times New Roman"/>
      <w:sz w:val="24"/>
      <w:szCs w:val="24"/>
      <w:lang w:val="lv-LV" w:eastAsia="lv-LV"/>
    </w:rPr>
  </w:style>
  <w:style w:type="character" w:customStyle="1" w:styleId="FootnoteTextChar1">
    <w:name w:val="Footnote Text Char1"/>
    <w:basedOn w:val="DefaultParagraphFont"/>
    <w:semiHidden/>
    <w:rsid w:val="000D67AB"/>
  </w:style>
  <w:style w:type="paragraph" w:customStyle="1" w:styleId="IntenseQuote2">
    <w:name w:val="Intense Quote2"/>
    <w:basedOn w:val="Normal"/>
    <w:next w:val="Normal"/>
    <w:uiPriority w:val="30"/>
    <w:qFormat/>
    <w:rsid w:val="000D67AB"/>
    <w:pPr>
      <w:pBdr>
        <w:top w:val="single" w:sz="4" w:space="10" w:color="4F81BD"/>
        <w:bottom w:val="single" w:sz="4" w:space="10" w:color="4F81BD"/>
      </w:pBdr>
      <w:spacing w:before="360" w:after="360" w:line="240" w:lineRule="auto"/>
      <w:ind w:left="864" w:right="864"/>
      <w:jc w:val="center"/>
    </w:pPr>
    <w:rPr>
      <w:rFonts w:ascii="Calibri Light" w:eastAsia="Times New Roman" w:hAnsi="Calibri Light" w:cs="Times New Roman"/>
      <w:color w:val="4472C4"/>
      <w:sz w:val="28"/>
      <w:szCs w:val="28"/>
      <w:lang w:val="lv-LV" w:eastAsia="lv-LV"/>
    </w:rPr>
  </w:style>
  <w:style w:type="character" w:customStyle="1" w:styleId="IntenseQuoteChar1">
    <w:name w:val="Intense Quote Char1"/>
    <w:basedOn w:val="DefaultParagraphFont"/>
    <w:uiPriority w:val="30"/>
    <w:rsid w:val="000D67AB"/>
    <w:rPr>
      <w:i/>
      <w:iCs/>
      <w:color w:val="4F81BD"/>
      <w:sz w:val="24"/>
      <w:szCs w:val="24"/>
    </w:rPr>
  </w:style>
  <w:style w:type="paragraph" w:styleId="Subtitle">
    <w:name w:val="Subtitle"/>
    <w:basedOn w:val="Normal"/>
    <w:next w:val="Normal"/>
    <w:link w:val="SubtitleChar"/>
    <w:uiPriority w:val="11"/>
    <w:qFormat/>
    <w:rsid w:val="000D67AB"/>
    <w:pPr>
      <w:numPr>
        <w:ilvl w:val="1"/>
      </w:numPr>
      <w:spacing w:line="240" w:lineRule="auto"/>
    </w:pPr>
    <w:rPr>
      <w:rFonts w:ascii="Calibri Light" w:eastAsia="Times New Roman" w:hAnsi="Calibri Light" w:cs="Times New Roman"/>
      <w:sz w:val="24"/>
      <w:szCs w:val="24"/>
      <w:lang w:val="lv-LV"/>
    </w:rPr>
  </w:style>
  <w:style w:type="character" w:customStyle="1" w:styleId="SubtitleChar1">
    <w:name w:val="Subtitle Char1"/>
    <w:basedOn w:val="DefaultParagraphFont"/>
    <w:rsid w:val="000D67AB"/>
    <w:rPr>
      <w:rFonts w:eastAsiaTheme="minorEastAsia"/>
      <w:color w:val="5A5A5A" w:themeColor="text1" w:themeTint="A5"/>
      <w:spacing w:val="15"/>
    </w:rPr>
  </w:style>
  <w:style w:type="character" w:customStyle="1" w:styleId="SubtleEmphasis2">
    <w:name w:val="Subtle Emphasis2"/>
    <w:basedOn w:val="DefaultParagraphFont"/>
    <w:uiPriority w:val="19"/>
    <w:qFormat/>
    <w:rsid w:val="000D67AB"/>
    <w:rPr>
      <w:i/>
      <w:iCs/>
      <w:color w:val="404040"/>
    </w:rPr>
  </w:style>
  <w:style w:type="table" w:customStyle="1" w:styleId="LightShading-Accent42">
    <w:name w:val="Light Shading - Accent 42"/>
    <w:basedOn w:val="TableNormal"/>
    <w:next w:val="LightShading-Accent4"/>
    <w:uiPriority w:val="60"/>
    <w:semiHidden/>
    <w:unhideWhenUsed/>
    <w:rsid w:val="000D67AB"/>
    <w:pPr>
      <w:spacing w:after="0" w:line="240" w:lineRule="auto"/>
    </w:pPr>
    <w:rPr>
      <w:rFonts w:ascii="Times New Roman" w:eastAsia="Times New Roman" w:hAnsi="Times New Roman" w:cs="Times New Roman"/>
      <w:color w:val="5F497A"/>
      <w:sz w:val="20"/>
      <w:szCs w:val="20"/>
      <w:lang w:val="lv-LV" w:eastAsia="lv-L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Quote">
    <w:name w:val="Quote"/>
    <w:basedOn w:val="Normal"/>
    <w:next w:val="Normal"/>
    <w:link w:val="QuoteChar"/>
    <w:uiPriority w:val="29"/>
    <w:qFormat/>
    <w:rsid w:val="000D67AB"/>
    <w:pPr>
      <w:spacing w:before="200" w:line="240" w:lineRule="auto"/>
      <w:ind w:left="864" w:right="864"/>
      <w:jc w:val="center"/>
    </w:pPr>
    <w:rPr>
      <w:rFonts w:ascii="Tahoma" w:eastAsia="Times New Roman" w:hAnsi="Tahoma"/>
      <w:i/>
      <w:iCs/>
      <w:color w:val="404040"/>
      <w:sz w:val="20"/>
      <w:szCs w:val="20"/>
      <w:lang w:val="lv-LV"/>
    </w:rPr>
  </w:style>
  <w:style w:type="character" w:customStyle="1" w:styleId="QuoteChar1">
    <w:name w:val="Quote Char1"/>
    <w:basedOn w:val="DefaultParagraphFont"/>
    <w:uiPriority w:val="29"/>
    <w:rsid w:val="000D67AB"/>
    <w:rPr>
      <w:i/>
      <w:iCs/>
      <w:color w:val="404040" w:themeColor="text1" w:themeTint="BF"/>
    </w:rPr>
  </w:style>
  <w:style w:type="table" w:customStyle="1" w:styleId="LightList-Accent32">
    <w:name w:val="Light List - Accent 32"/>
    <w:basedOn w:val="TableNormal"/>
    <w:next w:val="LightList-Accent3"/>
    <w:uiPriority w:val="61"/>
    <w:semiHidden/>
    <w:unhideWhenUsed/>
    <w:rsid w:val="000D67AB"/>
    <w:pPr>
      <w:spacing w:after="0" w:line="240" w:lineRule="auto"/>
    </w:pPr>
    <w:rPr>
      <w:rFonts w:ascii="Times New Roman" w:eastAsia="Times New Roman" w:hAnsi="Times New Roman" w:cs="Times New Roman"/>
      <w:sz w:val="20"/>
      <w:szCs w:val="20"/>
      <w:lang w:val="lv-LV" w:eastAsia="lv-LV"/>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itle">
    <w:name w:val="Title"/>
    <w:basedOn w:val="Normal"/>
    <w:next w:val="Normal"/>
    <w:link w:val="TitleChar"/>
    <w:uiPriority w:val="10"/>
    <w:qFormat/>
    <w:rsid w:val="000D67AB"/>
    <w:pPr>
      <w:spacing w:after="0" w:line="240" w:lineRule="auto"/>
      <w:contextualSpacing/>
    </w:pPr>
    <w:rPr>
      <w:rFonts w:ascii="Calibri Light" w:eastAsia="Times New Roman" w:hAnsi="Calibri Light" w:cs="Times New Roman"/>
      <w:color w:val="4472C4"/>
      <w:spacing w:val="-10"/>
      <w:sz w:val="56"/>
      <w:szCs w:val="56"/>
      <w:lang w:val="lv-LV"/>
    </w:rPr>
  </w:style>
  <w:style w:type="character" w:customStyle="1" w:styleId="TitleChar1">
    <w:name w:val="Title Char1"/>
    <w:basedOn w:val="DefaultParagraphFont"/>
    <w:rsid w:val="000D67AB"/>
    <w:rPr>
      <w:rFonts w:asciiTheme="majorHAnsi" w:eastAsiaTheme="majorEastAsia" w:hAnsiTheme="majorHAnsi" w:cstheme="majorBidi"/>
      <w:spacing w:val="-10"/>
      <w:kern w:val="28"/>
      <w:sz w:val="56"/>
      <w:szCs w:val="56"/>
    </w:rPr>
  </w:style>
  <w:style w:type="character" w:customStyle="1" w:styleId="SubtleReference2">
    <w:name w:val="Subtle Reference2"/>
    <w:basedOn w:val="DefaultParagraphFont"/>
    <w:uiPriority w:val="31"/>
    <w:qFormat/>
    <w:rsid w:val="000D67AB"/>
    <w:rPr>
      <w:smallCaps/>
      <w:color w:val="5A5A5A"/>
    </w:rPr>
  </w:style>
  <w:style w:type="table" w:customStyle="1" w:styleId="TableGrid4">
    <w:name w:val="Table Grid4"/>
    <w:basedOn w:val="TableNormal"/>
    <w:next w:val="TableGrid"/>
    <w:uiPriority w:val="39"/>
    <w:rsid w:val="000D67AB"/>
    <w:pPr>
      <w:spacing w:after="0" w:line="240" w:lineRule="auto"/>
    </w:pPr>
    <w:rPr>
      <w:rFonts w:ascii="Avenir LT Std 45 Book" w:eastAsia="SimSun" w:hAnsi="Avenir LT Std 45 Book"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67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0D67AB"/>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4472C4"/>
      <w:sz w:val="28"/>
      <w:szCs w:val="28"/>
      <w:lang w:val="lv-LV"/>
    </w:rPr>
  </w:style>
  <w:style w:type="character" w:customStyle="1" w:styleId="IntenseQuoteChar2">
    <w:name w:val="Intense Quote Char2"/>
    <w:basedOn w:val="DefaultParagraphFont"/>
    <w:uiPriority w:val="30"/>
    <w:rsid w:val="000D67AB"/>
    <w:rPr>
      <w:i/>
      <w:iCs/>
      <w:color w:val="4472C4" w:themeColor="accent1"/>
    </w:rPr>
  </w:style>
  <w:style w:type="table" w:styleId="LightShading-Accent4">
    <w:name w:val="Light Shading Accent 4"/>
    <w:basedOn w:val="TableNormal"/>
    <w:uiPriority w:val="60"/>
    <w:semiHidden/>
    <w:unhideWhenUsed/>
    <w:rsid w:val="000D67AB"/>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3">
    <w:name w:val="Light List Accent 3"/>
    <w:basedOn w:val="TableNormal"/>
    <w:uiPriority w:val="61"/>
    <w:semiHidden/>
    <w:unhideWhenUsed/>
    <w:rsid w:val="000D67A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SubtleEmphasis">
    <w:name w:val="Subtle Emphasis"/>
    <w:basedOn w:val="DefaultParagraphFont"/>
    <w:uiPriority w:val="19"/>
    <w:qFormat/>
    <w:rsid w:val="000D67AB"/>
    <w:rPr>
      <w:i/>
      <w:iCs/>
      <w:color w:val="404040" w:themeColor="text1" w:themeTint="BF"/>
    </w:rPr>
  </w:style>
  <w:style w:type="character" w:styleId="SubtleReference">
    <w:name w:val="Subtle Reference"/>
    <w:basedOn w:val="DefaultParagraphFont"/>
    <w:uiPriority w:val="31"/>
    <w:qFormat/>
    <w:rsid w:val="000D67AB"/>
    <w:rPr>
      <w:smallCaps/>
      <w:color w:val="5A5A5A" w:themeColor="text1" w:themeTint="A5"/>
    </w:rPr>
  </w:style>
  <w:style w:type="table" w:styleId="GridTable1Light">
    <w:name w:val="Grid Table 1 Light"/>
    <w:basedOn w:val="TableNormal"/>
    <w:uiPriority w:val="46"/>
    <w:rsid w:val="00DF40C6"/>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F40C6"/>
    <w:rPr>
      <w:color w:val="605E5C"/>
      <w:shd w:val="clear" w:color="auto" w:fill="E1DFDD"/>
    </w:rPr>
  </w:style>
  <w:style w:type="table" w:styleId="PlainTable2">
    <w:name w:val="Plain Table 2"/>
    <w:basedOn w:val="TableNormal"/>
    <w:uiPriority w:val="42"/>
    <w:rsid w:val="00DF40C6"/>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DF40C6"/>
    <w:pPr>
      <w:spacing w:after="0" w:line="240" w:lineRule="auto"/>
    </w:pPr>
    <w:rPr>
      <w:rFonts w:eastAsiaTheme="minorEastAsia"/>
      <w:lang w:val="lv-LV" w:eastAsia="lv-LV"/>
    </w:rPr>
    <w:tblPr>
      <w:tblCellMar>
        <w:top w:w="0" w:type="dxa"/>
        <w:left w:w="0" w:type="dxa"/>
        <w:bottom w:w="0" w:type="dxa"/>
        <w:right w:w="0" w:type="dxa"/>
      </w:tblCellMar>
    </w:tblPr>
  </w:style>
  <w:style w:type="paragraph" w:customStyle="1" w:styleId="msonormal0">
    <w:name w:val="msonormal"/>
    <w:basedOn w:val="Normal"/>
    <w:rsid w:val="00DF40C6"/>
    <w:pPr>
      <w:spacing w:before="100" w:beforeAutospacing="1" w:after="100" w:afterAutospacing="1" w:line="240" w:lineRule="auto"/>
      <w:ind w:firstLine="720"/>
      <w:jc w:val="both"/>
    </w:pPr>
    <w:rPr>
      <w:rFonts w:ascii="Times New Roman" w:eastAsia="Times New Roman" w:hAnsi="Times New Roman" w:cs="Times New Roman"/>
      <w:sz w:val="24"/>
      <w:szCs w:val="24"/>
      <w:lang w:val="lv-LV" w:eastAsia="en-GB"/>
    </w:rPr>
  </w:style>
  <w:style w:type="paragraph" w:customStyle="1" w:styleId="font5">
    <w:name w:val="font5"/>
    <w:basedOn w:val="Normal"/>
    <w:rsid w:val="00DF40C6"/>
    <w:pPr>
      <w:spacing w:before="100" w:beforeAutospacing="1" w:after="100" w:afterAutospacing="1" w:line="240" w:lineRule="auto"/>
    </w:pPr>
    <w:rPr>
      <w:rFonts w:ascii="Tahoma" w:eastAsia="Times New Roman" w:hAnsi="Tahoma" w:cs="Tahoma"/>
      <w:b/>
      <w:bCs/>
      <w:color w:val="000000"/>
      <w:sz w:val="18"/>
      <w:szCs w:val="18"/>
      <w:lang w:val="lv-LV" w:eastAsia="lv-LV"/>
    </w:rPr>
  </w:style>
  <w:style w:type="paragraph" w:customStyle="1" w:styleId="font6">
    <w:name w:val="font6"/>
    <w:basedOn w:val="Normal"/>
    <w:rsid w:val="00DF40C6"/>
    <w:pPr>
      <w:spacing w:before="100" w:beforeAutospacing="1" w:after="100" w:afterAutospacing="1" w:line="240" w:lineRule="auto"/>
    </w:pPr>
    <w:rPr>
      <w:rFonts w:ascii="Tahoma" w:eastAsia="Times New Roman" w:hAnsi="Tahoma" w:cs="Tahoma"/>
      <w:color w:val="000000"/>
      <w:sz w:val="18"/>
      <w:szCs w:val="18"/>
      <w:lang w:val="lv-LV" w:eastAsia="lv-LV"/>
    </w:rPr>
  </w:style>
  <w:style w:type="paragraph" w:customStyle="1" w:styleId="xl65">
    <w:name w:val="xl65"/>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6">
    <w:name w:val="xl66"/>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7">
    <w:name w:val="xl67"/>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8">
    <w:name w:val="xl68"/>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69">
    <w:name w:val="xl69"/>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0">
    <w:name w:val="xl70"/>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lv-LV" w:eastAsia="lv-LV"/>
    </w:rPr>
  </w:style>
  <w:style w:type="paragraph" w:customStyle="1" w:styleId="xl71">
    <w:name w:val="xl71"/>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2">
    <w:name w:val="xl72"/>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xl73">
    <w:name w:val="xl73"/>
    <w:basedOn w:val="Normal"/>
    <w:rsid w:val="00DF40C6"/>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4">
    <w:name w:val="xl74"/>
    <w:basedOn w:val="Normal"/>
    <w:rsid w:val="00DF40C6"/>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val="lv-LV" w:eastAsia="lv-LV"/>
    </w:rPr>
  </w:style>
  <w:style w:type="paragraph" w:customStyle="1" w:styleId="xl75">
    <w:name w:val="xl75"/>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76">
    <w:name w:val="xl76"/>
    <w:basedOn w:val="Normal"/>
    <w:rsid w:val="00DF40C6"/>
    <w:pPr>
      <w:spacing w:before="100" w:beforeAutospacing="1" w:after="100" w:afterAutospacing="1" w:line="240" w:lineRule="auto"/>
      <w:textAlignment w:val="top"/>
    </w:pPr>
    <w:rPr>
      <w:rFonts w:ascii="Calibri Light" w:eastAsia="Times New Roman" w:hAnsi="Calibri Light" w:cs="Calibri Light"/>
      <w:sz w:val="24"/>
      <w:szCs w:val="24"/>
      <w:lang w:val="lv-LV" w:eastAsia="lv-LV"/>
    </w:rPr>
  </w:style>
  <w:style w:type="paragraph" w:customStyle="1" w:styleId="xl77">
    <w:name w:val="xl77"/>
    <w:basedOn w:val="Normal"/>
    <w:rsid w:val="00DF40C6"/>
    <w:pPr>
      <w:spacing w:before="100" w:beforeAutospacing="1" w:after="100" w:afterAutospacing="1" w:line="240" w:lineRule="auto"/>
    </w:pPr>
    <w:rPr>
      <w:rFonts w:ascii="Calibri Light" w:eastAsia="Times New Roman" w:hAnsi="Calibri Light" w:cs="Calibri Light"/>
      <w:b/>
      <w:bCs/>
      <w:sz w:val="24"/>
      <w:szCs w:val="24"/>
      <w:lang w:val="lv-LV" w:eastAsia="lv-LV"/>
    </w:rPr>
  </w:style>
  <w:style w:type="paragraph" w:customStyle="1" w:styleId="xl78">
    <w:name w:val="xl78"/>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79">
    <w:name w:val="xl79"/>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val="lv-LV" w:eastAsia="lv-LV"/>
    </w:rPr>
  </w:style>
  <w:style w:type="paragraph" w:customStyle="1" w:styleId="xl80">
    <w:name w:val="xl80"/>
    <w:basedOn w:val="Normal"/>
    <w:rsid w:val="00DF40C6"/>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1">
    <w:name w:val="xl81"/>
    <w:basedOn w:val="Normal"/>
    <w:rsid w:val="00DF40C6"/>
    <w:pPr>
      <w:pBdr>
        <w:top w:val="single" w:sz="8" w:space="0" w:color="auto"/>
        <w:left w:val="single" w:sz="4" w:space="0" w:color="auto"/>
        <w:bottom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2">
    <w:name w:val="xl82"/>
    <w:basedOn w:val="Normal"/>
    <w:rsid w:val="00DF40C6"/>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3">
    <w:name w:val="xl83"/>
    <w:basedOn w:val="Normal"/>
    <w:rsid w:val="00DF40C6"/>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val="lv-LV" w:eastAsia="lv-LV"/>
    </w:rPr>
  </w:style>
  <w:style w:type="paragraph" w:customStyle="1" w:styleId="xl84">
    <w:name w:val="xl84"/>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5">
    <w:name w:val="xl85"/>
    <w:basedOn w:val="Normal"/>
    <w:rsid w:val="00DF40C6"/>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86">
    <w:name w:val="xl86"/>
    <w:basedOn w:val="Normal"/>
    <w:rsid w:val="00DF40C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7">
    <w:name w:val="xl87"/>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8">
    <w:name w:val="xl88"/>
    <w:basedOn w:val="Normal"/>
    <w:rsid w:val="00DF40C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89">
    <w:name w:val="xl89"/>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0">
    <w:name w:val="xl90"/>
    <w:basedOn w:val="Normal"/>
    <w:rsid w:val="00DF40C6"/>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1">
    <w:name w:val="xl91"/>
    <w:basedOn w:val="Normal"/>
    <w:rsid w:val="00DF40C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2">
    <w:name w:val="xl9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3">
    <w:name w:val="xl93"/>
    <w:basedOn w:val="Normal"/>
    <w:rsid w:val="00DF40C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4">
    <w:name w:val="xl94"/>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5">
    <w:name w:val="xl95"/>
    <w:basedOn w:val="Normal"/>
    <w:rsid w:val="00DF40C6"/>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96">
    <w:name w:val="xl96"/>
    <w:basedOn w:val="Normal"/>
    <w:rsid w:val="00DF40C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7">
    <w:name w:val="xl97"/>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8">
    <w:name w:val="xl98"/>
    <w:basedOn w:val="Normal"/>
    <w:rsid w:val="00DF40C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val="lv-LV" w:eastAsia="lv-LV"/>
    </w:rPr>
  </w:style>
  <w:style w:type="paragraph" w:customStyle="1" w:styleId="xl99">
    <w:name w:val="xl99"/>
    <w:basedOn w:val="Normal"/>
    <w:rsid w:val="00DF40C6"/>
    <w:pPr>
      <w:pBdr>
        <w:top w:val="single" w:sz="8"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0">
    <w:name w:val="xl100"/>
    <w:basedOn w:val="Normal"/>
    <w:rsid w:val="00DF40C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1">
    <w:name w:val="xl101"/>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2">
    <w:name w:val="xl102"/>
    <w:basedOn w:val="Normal"/>
    <w:rsid w:val="00DF40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3">
    <w:name w:val="xl103"/>
    <w:basedOn w:val="Normal"/>
    <w:rsid w:val="00DF40C6"/>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4">
    <w:name w:val="xl104"/>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5">
    <w:name w:val="xl105"/>
    <w:basedOn w:val="Normal"/>
    <w:rsid w:val="00DF40C6"/>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6">
    <w:name w:val="xl106"/>
    <w:basedOn w:val="Normal"/>
    <w:rsid w:val="00DF40C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val="lv-LV" w:eastAsia="lv-LV"/>
    </w:rPr>
  </w:style>
  <w:style w:type="paragraph" w:customStyle="1" w:styleId="xl107">
    <w:name w:val="xl107"/>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8">
    <w:name w:val="xl108"/>
    <w:basedOn w:val="Normal"/>
    <w:rsid w:val="00DF40C6"/>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09">
    <w:name w:val="xl109"/>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0">
    <w:name w:val="xl110"/>
    <w:basedOn w:val="Normal"/>
    <w:rsid w:val="00DF40C6"/>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1">
    <w:name w:val="xl111"/>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2">
    <w:name w:val="xl112"/>
    <w:basedOn w:val="Normal"/>
    <w:rsid w:val="00DF40C6"/>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val="lv-LV" w:eastAsia="lv-LV"/>
    </w:rPr>
  </w:style>
  <w:style w:type="paragraph" w:customStyle="1" w:styleId="xl113">
    <w:name w:val="xl113"/>
    <w:basedOn w:val="Normal"/>
    <w:rsid w:val="00DF40C6"/>
    <w:pPr>
      <w:spacing w:before="100" w:beforeAutospacing="1" w:after="100" w:afterAutospacing="1" w:line="240" w:lineRule="auto"/>
    </w:pPr>
    <w:rPr>
      <w:rFonts w:ascii="Calibri Light" w:eastAsia="Times New Roman" w:hAnsi="Calibri Light" w:cs="Calibri Light"/>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85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ha.europa.eu/lv/candidate-list-t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012B6-0DE2-4204-9B53-582C84BD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117356</Words>
  <Characters>66893</Characters>
  <Application>Microsoft Office Word</Application>
  <DocSecurity>0</DocSecurity>
  <Lines>557</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Pelša</dc:creator>
  <cp:keywords/>
  <dc:description/>
  <cp:lastModifiedBy>Inese Pelša</cp:lastModifiedBy>
  <cp:revision>5</cp:revision>
  <dcterms:created xsi:type="dcterms:W3CDTF">2022-06-27T08:27:00Z</dcterms:created>
  <dcterms:modified xsi:type="dcterms:W3CDTF">2022-06-27T08:43:00Z</dcterms:modified>
</cp:coreProperties>
</file>