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175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12. martā (prot. Nr. 11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kas nepārsniedz 780 000 </w:t>
      </w:r>
      <w:r w:rsidR="00000000" w:rsidRPr="00000000" w:rsidDel="00000000">
        <w:rPr>
          <w:i w:val="1"/>
          <w:rtl w:val="0"/>
        </w:rPr>
        <w:t xml:space="preserve">euro</w:t>
      </w:r>
      <w:r w:rsidR="00000000" w:rsidRPr="00000000" w:rsidDel="00000000">
        <w:rPr>
          <w:rtl w:val="0"/>
        </w:rPr>
        <w:t xml:space="preserve">, no budžeta resora "74. Gadskārtējā valsts budžeta izpildes procesā pārdalāmais finansējums" programmas 17.00.00 "Finansējums Ukrainas civiliedzīvotāju atbalsta likumā noteikto pasākumu īstenošanai" uz Izglītības un zinātnes ministrijas budžeta apakšprogrammu 42.06.00 "Valsts izglītības satura centra darbības nodrošināšana", lai, pamatojoties uz Ukrainas civiliedzīvotāju atbalsta likumu, līdz 2024. gada 31. decembrim sniegtu atbalstu neformālās izglītības pasākumu nodrošināšanai, tai skaitā latviešu valodas apguvei.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24-TA-83</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24-TA-83</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rīkojuma_projekts_24-TA-83.docx</dc:title>
</cp:coreProperties>
</file>

<file path=docProps/custom.xml><?xml version="1.0" encoding="utf-8"?>
<Properties xmlns="http://schemas.openxmlformats.org/officeDocument/2006/custom-properties" xmlns:vt="http://schemas.openxmlformats.org/officeDocument/2006/docPropsVTypes"/>
</file>