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25,90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sz w:val="28"/>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8"/>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neesības vai nereģistrētas ēkas   konstatēšana un attiecīgas informācijas attēlošana apbūves plānā  (piemēro arī šā pielikuma 2. un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sz w:val="28"/>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8"/>
                <w:vertAlign w:val="superscript"/>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sz w:val="28"/>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8"/>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nolietojuma noteikšana</w:t>
            </w:r>
            <w:r w:rsidR="00000000" w:rsidRPr="00000000" w:rsidDel="00000000">
              <w:rPr>
                <w:sz w:val="28"/>
                <w:vertAlign w:val="superscript"/>
                <w:rtl w:val="0"/>
              </w:rPr>
              <w:t xml:space="preserve">3, 4, 7 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Kadastra informācijas sistēmā</w:t>
            </w:r>
            <w:r w:rsidR="00000000" w:rsidRPr="00000000" w:rsidDel="00000000">
              <w:rPr>
                <w:sz w:val="28"/>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kadastra objekta datu reģistrācija vai kadastra datu aktualizācija pēc kadastrālās uzmērīšanas, vai reģistrācijas, aktualizācijas atteikums (nekustamais īpašums, zemes vienība, zemes vienības daļa, būve vai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šā pielikuma 5.1.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datu aktualizācija, tai skaitā ieraksta par būves vai telpu grupas dzēšanu, neveicot kadastrālo uzmērīšanu, vai aktualizācijas atteikums</w:t>
            </w:r>
            <w:r w:rsidR="00000000" w:rsidRPr="00000000" w:rsidDel="00000000">
              <w:rPr>
                <w:sz w:val="28"/>
                <w:vertAlign w:val="superscript"/>
                <w:rtl w:val="0"/>
              </w:rPr>
              <w:t xml:space="preserve">8, 9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teksta un grafisko datu reģistrācija vai reģistrācija, aktualizācija, neveicot kadastrālo uzmērīšanu apvidū, vai reģistrācijas, aktualizācijas atteikums</w:t>
            </w:r>
            <w:r w:rsidR="00000000" w:rsidRPr="00000000" w:rsidDel="00000000">
              <w:rPr>
                <w:sz w:val="28"/>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89,25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sz w:val="28"/>
                <w:vertAlign w:val="superscript"/>
                <w:rtl w:val="0"/>
              </w:rPr>
              <w:t xml:space="preserve">7</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sz w:val="28"/>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sz w:val="28"/>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 </w:t>
            </w:r>
            <w:r w:rsidR="00000000" w:rsidRPr="00000000" w:rsidDel="00000000">
              <w:rPr>
                <w:sz w:val="28"/>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w:t>
            </w:r>
            <w:r w:rsidR="00000000" w:rsidRPr="00000000" w:rsidDel="00000000">
              <w:rPr>
                <w:sz w:val="28"/>
                <w:vertAlign w:val="superscript"/>
                <w:rtl w:val="0"/>
              </w:rPr>
              <w:t xml:space="preserve">11, 13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Datubāzes replikācijas abonēšana </w:t>
            </w:r>
            <w:r w:rsidR="00000000" w:rsidRPr="00000000" w:rsidDel="00000000">
              <w:rPr>
                <w:sz w:val="28"/>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14</w:t>
            </w:r>
            <w:r w:rsidR="00000000" w:rsidRPr="00000000" w:rsidDel="00000000">
              <w:rPr>
                <w:vertAlign w:val="superscript"/>
                <w:rtl w:val="0"/>
              </w:rPr>
              <w:t xml:space="preserve"> </w:t>
            </w:r>
            <w:r w:rsidR="00000000" w:rsidRPr="00000000" w:rsidDel="00000000">
              <w:rPr>
                <w:rtl w:val="0"/>
              </w:rPr>
              <w:t xml:space="preserve">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sz w:val="28"/>
                <w:vertAlign w:val="superscript"/>
                <w:rtl w:val="0"/>
              </w:rPr>
              <w:t xml:space="preserve">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sz w:val="28"/>
                <w:vertAlign w:val="superscript"/>
                <w:rtl w:val="0"/>
              </w:rPr>
              <w:t xml:space="preserve">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vai tās papildu oriģināla eksemplāra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sagatavošana</w:t>
            </w:r>
            <w:r w:rsidR="00000000" w:rsidRPr="00000000" w:rsidDel="00000000">
              <w:rPr>
                <w:sz w:val="28"/>
                <w:vertAlign w:val="superscript"/>
                <w:rtl w:val="0"/>
              </w:rPr>
              <w:t xml:space="preserve">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kopijas sagatavošana un izsniegšana</w:t>
            </w:r>
            <w:r w:rsidR="00000000" w:rsidRPr="00000000" w:rsidDel="00000000">
              <w:rPr>
                <w:sz w:val="28"/>
                <w:vertAlign w:val="superscript"/>
                <w:rtl w:val="0"/>
              </w:rPr>
              <w:t xml:space="preserve">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sz w:val="28"/>
                <w:vertAlign w:val="superscript"/>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sz w:val="28"/>
                <w:vertAlign w:val="superscript"/>
                <w:rtl w:val="0"/>
              </w:rPr>
              <w:t xml:space="preserve">17</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sz w:val="28"/>
                <w:vertAlign w:val="superscript"/>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sz w:val="28"/>
                <w:vertAlign w:val="superscript"/>
                <w:rtl w:val="0"/>
              </w:rPr>
              <w:t xml:space="preserve">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zemes reformas ietvaros</w:t>
            </w:r>
            <w:r w:rsidR="00000000" w:rsidRPr="00000000" w:rsidDel="00000000">
              <w:rPr>
                <w:sz w:val="28"/>
                <w:vertAlign w:val="superscript"/>
                <w:rtl w:val="0"/>
              </w:rPr>
              <w:t xml:space="preserve">2, 15, 19</w:t>
            </w:r>
          </w:p>
        </w:tc>
        <w:tc>
          <w:tcPr>
            <w:shd w:fill="ffffff"/>
            <w:vAlign w:val="top"/>
            <w:noWrap w:val="true"/>
            <w:vMerge w:val="restart"/>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lietotājam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nākamajam lietotājam, ja ir kopīpašums (koplietojums) (papildus šā pielikuma 22.1. apakšpunktā minētajai cenai), bet ne vairāk kā 170,74 </w:t>
            </w:r>
            <w:r w:rsidR="00000000" w:rsidRPr="00000000" w:rsidDel="00000000">
              <w:rPr>
                <w:i w:val="1"/>
                <w:rtl w:val="0"/>
              </w:rPr>
              <w:t xml:space="preserve">euro</w:t>
            </w:r>
            <w:r w:rsidR="00000000" w:rsidRPr="00000000" w:rsidDel="00000000">
              <w:rPr>
                <w:rtl w:val="0"/>
              </w:rPr>
              <w:t xml:space="preserve"> par lēmuma sagatavošanu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dokumenta atbilstības pārbaude attiecībā pret kadastra datiem</w:t>
            </w:r>
            <w:r w:rsidR="00000000" w:rsidRPr="00000000" w:rsidDel="00000000">
              <w:rPr>
                <w:sz w:val="28"/>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r w:rsidR="00000000" w:rsidRPr="00000000" w:rsidDel="00000000">
              <w:rPr>
                <w:sz w:val="28"/>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pakalpojuma pasūtīšana vai saņemšana klātienē</w:t>
            </w:r>
            <w:r w:rsidR="00000000" w:rsidRPr="00000000" w:rsidDel="00000000">
              <w:rPr>
                <w:sz w:val="28"/>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sz w:val="28"/>
                <w:vertAlign w:val="superscript"/>
                <w:rtl w:val="0"/>
              </w:rPr>
              <w:t xml:space="preserve">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8"/>
                <w:vertAlign w:val="superscript"/>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piedalīšanos Valsts zemes dienesta organizētajos semināros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w:t>
            </w:r>
            <w:r w:rsidR="00000000" w:rsidRPr="00000000" w:rsidDel="00000000">
              <w:rPr>
                <w:sz w:val="28"/>
                <w:vertAlign w:val="superscript"/>
                <w:rtl w:val="0"/>
              </w:rPr>
              <w:t xml:space="preserve">7, 20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līdz 45 km no Valsts zemes dienesta reģionālās pārvaldes apakšstruktūrvienības atrašanās 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objekta apsekošana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km no Valsts zemes dienesta reģionālās pārvaldes apakšstruktūrvienības atrašanās 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objekta apsekošana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Var saņemt pakalpojumu divas reizes īsākā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pakalpojuma cenai piemēro šā pielikuma 5. vai 6. punktā minēto cenu par kadastra objekta reģistrāciju un kadastra datu aktualizāciju Kadastra informācijas sistēmā, šā pielikuma 16. punktā minēto cenu par kadastrālās uzmērīšanas lietas izgatavošanu, šā pielikuma 29. punktā minēto cenu par speciālista izbraukumu uz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Pārsniedzot piecas datu aktualizācijas vienam kadastra objektam, maksu piemēro  saskaņā ar šā pielikuma 7.punktā minēto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Maksu par pakalpojumu piemēro arī tad, ja jāveic atkārtota dokumenta atbilstības pārbaude attiecībā pret kadastra datiem zemes kadastrālās uzmērīšanas pakalpojumu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atteikumu piemēro saskaņā ar šā pielikuma 5.1. apakšpunktā minēto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Informācija tiek sagatavota no informācijas sistēmas bez paraksta,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Cenu piemēro par katriem 25 000 datu pieprasījumiem kalendāra mēnesī līdz 1 000 000 datu pieprasījumiem kalendāra mēnesī. Pārsniedzot 1 000 000 datu pieprasījumu kalendāra mēnesī, cena par turpmākiem datu pieprasījumiem šajā kalendāra mēnesī netiek piemērota. Pieprasījumu skaits ir viens nedalāms kopums. Maksu par kalendāra mēnesi, kurā tiek pārtrauktas līgumsaistības, aprēķina šajā piezīmē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nepieciešams, pakalpojuma cenai papildus pieskaita maksu saskaņā ar šā pielikuma 19.4. un 19.5.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Lēmums par īpašumtiesību atjaunošanu, nodošanu īpašumā par samaksu, zemes izpirkšanu un īpašumtiesību atjaunošanu (lauku teritorijās, izņemot likuma "Par zemes reformas pabeigšanu lauku apvidos" 16. panta otrās daļas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Maksu par pakalpojumu piemēro arī tad, ja jāveic atkārtots izbraukums uz objektu no Valsts zemes dienesta neatkarīgu apstākļu dēļ un par gaidīšanas laiku, ilgāku par vienu stundu. Maksu par pakalpojumu piemēro dubultā apmērā, ja izbrauciens uz objektu ir ārpus darba laika darbdienā, brīvdienā un svētku dienā.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22-TA-1078</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22-TA-1078</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noteikumu_konsolidētā_versija_p_22-TA-1078.docx</dc:title>
</cp:coreProperties>
</file>

<file path=docProps/custom.xml><?xml version="1.0" encoding="utf-8"?>
<Properties xmlns="http://schemas.openxmlformats.org/officeDocument/2006/custom-properties" xmlns:vt="http://schemas.openxmlformats.org/officeDocument/2006/docPropsVTypes"/>
</file>