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Patērētāju tiesību aizsardzības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Patērētāju tiesību aizsardzības likumā (Latvijas Republikas Saeimas un Ministru Kabineta Ziņotājs, 1999, 9. nr.; 2002, 1. nr.; 2003, 11. nr.; 2004, 11. nr.; 2005, 24. nr.; 2007, 9., 12. nr.; 2008, 15. nr.; 2009, 13. nr.; Latvijas Vēstnesis, 2009, 194. nr.; 2010, 183., 206. nr.; 2011, 96. nr.; 2013, 193. nr.; 2014, 92., 189. nr.; 2015, 42., 118., 127. nr.; 2016, 123. nr.; 2018, 204. nr.; 2019, 284A. nr., 2021, 79A., 104.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8. panta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daļu ar 6.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"6) vērtspapīrošanas sabiedrību un parādus apkalpojošo sabiedrību, ja parādus apkalpojošā sabiedrība ir iniciators, kurš pirms aktīvu atsavināšanas vērtspapīrošanas sabiedrībai atbilda šīs daļas 1., 2., 3. vai 4. punktam, atbilstoši Vērtspapīrošanas likumam."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 Vērtspapīrošanas 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22-TA-467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22-TA-467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