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Eiropas Savienības fondu 2021.–2027. gada plānošanas perioda vadības likuma 19. panta</w:t>
      </w:r>
      <w:r w:rsidR="00000000" w:rsidRPr="00000000" w:rsidDel="00000000">
        <w:rPr>
          <w:rStyle w:val="paragraph"/>
          <w:i w:val="1"/>
          <w:rtl w:val="0"/>
        </w:rPr>
        <w:t xml:space="preserve"> 6. un 13. punktu</w:t>
      </w:r>
      <w:r>
        <w:br/>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4.3.6.9. pasākumu "Ģimenei draudzīgas vides un sabiedrības veidošana un intervences psiholoģiskā un emocionālā noturīguma veicināšanai"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veidot bērniem un ģimenēm draudzīgu vidi un sadarbībā ar nevalstiskajām organizācijām un darba devējiem veidot ģimenēm ar bērniem atbalstošu sabiedrību, īstenojot pasākumus un atbalsta programmas psiholoģiskā un emocionālā noturīguma veicināšanai, radot priekšnoteikumus pozitīvai bērnu attīstībai un sociālajai integrācijai un ļaujot īstenot viņu potenciālu veiksmīgai dzīvei.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vecumā līdz 18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kuru aprūpē ir bērni vecumā līdz 18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ar bērniem;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vispārējo un profesionālo izglītības iestāžu pedagogi un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nevalstiskās organizācijas.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 īsteno ierobežotas projektu iesniegumu atlases veidā divās iesniegumu atlases kārtās, katrā kārtā iesniedzot vienu projekta iesniegumu par tajā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985;</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3600;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200;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3300;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līdz 2029. gada 31. decembrim sasniedzams šāds rezultāta rādītājs – bērni ar attīstības grūtībām, nepietiekamu attīstību vai tās veidošanās risku (kumulatīvais skaits), kuriem veicināta pozitīva attīstība un pašrealizācija, – 6900: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ietvaros atbalstu saņēmušo bērnu skaits vecumā līdz 18 gadiem – 3600;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 atbalstu saņēmušo bērnu skaits vecumā līdz 18 gadiem – 3300.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kopējais attiecināmais finansējums ir 14 913 228 </w:t>
      </w:r>
      <w:r w:rsidR="00000000" w:rsidRPr="00000000" w:rsidDel="00000000">
        <w:rPr>
          <w:i w:val="1"/>
          <w:rtl w:val="0"/>
        </w:rPr>
        <w:t xml:space="preserve">euro </w:t>
      </w:r>
      <w:r w:rsidR="00000000" w:rsidRPr="00000000" w:rsidDel="00000000">
        <w:rPr>
          <w:rtl w:val="0"/>
        </w:rPr>
        <w:t xml:space="preserve">(no tā elastības finansējums 2 090 352 </w:t>
      </w:r>
      <w:r w:rsidR="00000000" w:rsidRPr="00000000" w:rsidDel="00000000">
        <w:rPr>
          <w:i w:val="1"/>
          <w:rtl w:val="0"/>
        </w:rPr>
        <w:t xml:space="preserve">euro</w:t>
      </w:r>
      <w:r w:rsidR="00000000" w:rsidRPr="00000000" w:rsidDel="00000000">
        <w:rPr>
          <w:rtl w:val="0"/>
        </w:rPr>
        <w:t xml:space="preserve">), tai skaitā Eiropas Sociālā fonda Plus finansējums 12 676 243 </w:t>
      </w:r>
      <w:r w:rsidR="00000000" w:rsidRPr="00000000" w:rsidDel="00000000">
        <w:rPr>
          <w:i w:val="1"/>
          <w:rtl w:val="0"/>
        </w:rPr>
        <w:t xml:space="preserve">euro</w:t>
      </w:r>
      <w:r w:rsidR="00000000" w:rsidRPr="00000000" w:rsidDel="00000000">
        <w:rPr>
          <w:rtl w:val="0"/>
        </w:rPr>
        <w:t xml:space="preserve"> (no tā elastības finansējums 1 776 800 </w:t>
      </w:r>
      <w:r w:rsidR="00000000" w:rsidRPr="00000000" w:rsidDel="00000000">
        <w:rPr>
          <w:i w:val="1"/>
          <w:rtl w:val="0"/>
        </w:rPr>
        <w:t xml:space="preserve">euro</w:t>
      </w:r>
      <w:r w:rsidR="00000000" w:rsidRPr="00000000" w:rsidDel="00000000">
        <w:rPr>
          <w:rtl w:val="0"/>
        </w:rPr>
        <w:t xml:space="preserve">) un valsts budžeta līdzfinansējums 2 236 985 </w:t>
      </w:r>
      <w:r w:rsidR="00000000" w:rsidRPr="00000000" w:rsidDel="00000000">
        <w:rPr>
          <w:i w:val="1"/>
          <w:rtl w:val="0"/>
        </w:rPr>
        <w:t xml:space="preserve">euro </w:t>
      </w:r>
      <w:r w:rsidR="00000000" w:rsidRPr="00000000" w:rsidDel="00000000">
        <w:rPr>
          <w:rtl w:val="0"/>
        </w:rPr>
        <w:t xml:space="preserve">(no tā elastības finansējums 313 552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kārtā plānotais kopējais finansējums Sabiedrības integrācijas fondam ir 9 766 495 </w:t>
      </w:r>
      <w:r w:rsidR="00000000" w:rsidRPr="00000000" w:rsidDel="00000000">
        <w:rPr>
          <w:i w:val="1"/>
          <w:rtl w:val="0"/>
        </w:rPr>
        <w:t xml:space="preserve">euro</w:t>
      </w:r>
      <w:r w:rsidR="00000000" w:rsidRPr="00000000" w:rsidDel="00000000">
        <w:rPr>
          <w:rtl w:val="0"/>
        </w:rPr>
        <w:t xml:space="preserve">, ko veido Eiropas Sociālā fonda Plus finansējums 8 301 520 </w:t>
      </w:r>
      <w:r w:rsidR="00000000" w:rsidRPr="00000000" w:rsidDel="00000000">
        <w:rPr>
          <w:i w:val="1"/>
          <w:rtl w:val="0"/>
        </w:rPr>
        <w:t xml:space="preserve">euro </w:t>
      </w:r>
      <w:r w:rsidR="00000000" w:rsidRPr="00000000" w:rsidDel="00000000">
        <w:rPr>
          <w:rtl w:val="0"/>
        </w:rPr>
        <w:t xml:space="preserve">apmērā un valsts budžeta līdzfinansējums 1 464 975 </w:t>
      </w:r>
      <w:r w:rsidR="00000000" w:rsidRPr="00000000" w:rsidDel="00000000">
        <w:rPr>
          <w:i w:val="1"/>
          <w:rtl w:val="0"/>
        </w:rPr>
        <w:t xml:space="preserve">euro </w:t>
      </w:r>
      <w:r w:rsidR="00000000" w:rsidRPr="00000000" w:rsidDel="00000000">
        <w:rPr>
          <w:rtl w:val="0"/>
        </w:rPr>
        <w:t xml:space="preserve">apmērā. Projekta iesniegumā kopējo pieejamo finansējumu plāno ne vairāk kā 8 397 548 </w:t>
      </w:r>
      <w:r w:rsidR="00000000" w:rsidRPr="00000000" w:rsidDel="00000000">
        <w:rPr>
          <w:i w:val="1"/>
          <w:rtl w:val="0"/>
        </w:rPr>
        <w:t xml:space="preserve">euro </w:t>
      </w:r>
      <w:r w:rsidR="00000000" w:rsidRPr="00000000" w:rsidDel="00000000">
        <w:rPr>
          <w:rtl w:val="0"/>
        </w:rPr>
        <w:t xml:space="preserve">apmērā, ko veido Eiropas Sociālā fonda Plus finansējums 7 137 915 </w:t>
      </w:r>
      <w:r w:rsidR="00000000" w:rsidRPr="00000000" w:rsidDel="00000000">
        <w:rPr>
          <w:i w:val="1"/>
          <w:rtl w:val="0"/>
        </w:rPr>
        <w:t xml:space="preserve">euro </w:t>
      </w:r>
      <w:r w:rsidR="00000000" w:rsidRPr="00000000" w:rsidDel="00000000">
        <w:rPr>
          <w:rtl w:val="0"/>
        </w:rPr>
        <w:t xml:space="preserve">apmērā un valsts budžeta finansējums 1 259 633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kārtā plānotais kopējais finansējums Valsts kancelejai ir 5 146 733 </w:t>
      </w:r>
      <w:r w:rsidR="00000000" w:rsidRPr="00000000" w:rsidDel="00000000">
        <w:rPr>
          <w:i w:val="1"/>
          <w:rtl w:val="0"/>
        </w:rPr>
        <w:t xml:space="preserve">euro</w:t>
      </w:r>
      <w:r w:rsidR="00000000" w:rsidRPr="00000000" w:rsidDel="00000000">
        <w:rPr>
          <w:rtl w:val="0"/>
        </w:rPr>
        <w:t xml:space="preserve">, ko veido Eiropas Sociālā fonda Plus finansējums 4 374 723 </w:t>
      </w:r>
      <w:r w:rsidR="00000000" w:rsidRPr="00000000" w:rsidDel="00000000">
        <w:rPr>
          <w:i w:val="1"/>
          <w:rtl w:val="0"/>
        </w:rPr>
        <w:t xml:space="preserve">euro </w:t>
      </w:r>
      <w:r w:rsidR="00000000" w:rsidRPr="00000000" w:rsidDel="00000000">
        <w:rPr>
          <w:rtl w:val="0"/>
        </w:rPr>
        <w:t xml:space="preserve">apmērā un valsts budžeta līdzfinansējums 772 010 </w:t>
      </w:r>
      <w:r w:rsidR="00000000" w:rsidRPr="00000000" w:rsidDel="00000000">
        <w:rPr>
          <w:i w:val="1"/>
          <w:rtl w:val="0"/>
        </w:rPr>
        <w:t xml:space="preserve">euro </w:t>
      </w:r>
      <w:r w:rsidR="00000000" w:rsidRPr="00000000" w:rsidDel="00000000">
        <w:rPr>
          <w:rtl w:val="0"/>
        </w:rPr>
        <w:t xml:space="preserve">apmērā. Projekta iesniegumā kopējo pieejamo finansējumu plāno ne vairāk kā 4 425 328 </w:t>
      </w:r>
      <w:r w:rsidR="00000000" w:rsidRPr="00000000" w:rsidDel="00000000">
        <w:rPr>
          <w:i w:val="1"/>
          <w:rtl w:val="0"/>
        </w:rPr>
        <w:t xml:space="preserve">euro </w:t>
      </w:r>
      <w:r w:rsidR="00000000" w:rsidRPr="00000000" w:rsidDel="00000000">
        <w:rPr>
          <w:rtl w:val="0"/>
        </w:rPr>
        <w:t xml:space="preserve">apmērā, ko veido Eiropas Sociālā fonda Plus finansējums 3 761 528 </w:t>
      </w:r>
      <w:r w:rsidR="00000000" w:rsidRPr="00000000" w:rsidDel="00000000">
        <w:rPr>
          <w:i w:val="1"/>
          <w:rtl w:val="0"/>
        </w:rPr>
        <w:t xml:space="preserve">euro </w:t>
      </w:r>
      <w:r w:rsidR="00000000" w:rsidRPr="00000000" w:rsidDel="00000000">
        <w:rPr>
          <w:rtl w:val="0"/>
        </w:rPr>
        <w:t xml:space="preserve">apmērā un valsts budžeta līdzfinansējums 663 800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pirmās un otrās kārtas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Valsts kanceleja.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Eiropas Sociālā fonda Plus finansējuma saņēmējs, kas pasākuma ietvaros ir Valsts kanceleja un Sabiedrības integrācijas fonds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īstenošanai var piesaistīt sadarbības partnerus – nozaru ministrijas, kuru politika ir saistīta ar pasākuma mērķa sasniegšanu (piemēram, Labklājības ministriju, Izglītības un zinātnes ministriju, Veselības ministriju), vai to padotības iestādes, pašvaldības un nevalstiskās organizācijas, kuru darbības joma ir saistīta ar pasākuma mērķa grupu interešu pārstāvniecību, kā arī darba devējus.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partneri nodrošina metodisko atbalstu un piedalās pasākuma uzraudzībā tā kvalitatīvai īstenošanai, kā arī var tikt piesaistīti konkrētu darbību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partnerim var piešķirt finansējumu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ar sadarbības partneri slēdz attiecīgi sadarbības līgumu vai vienošanos par sadarbību (turpmāk – sadarbības līgums)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uz projekta iesnieguma iesniegšanas dienu sadarbības līgums nav noslēgts, projekta iesniegumam pievieno finansējuma saņēmēja un sadarbības partnera noslēgtu nodomu protokolu.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apņemšanos sadarboties projekta īstenošanā, tai skaitā noslēgt sadarbības līgumu, ja projekta iesniegums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norādi par sadarbības partnera veicamajiem pienākumiem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veicami norēķini ar sadarbības partneri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sagatavo un iesniedz attiecināmās izmaksas pamatojošos dokumentus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sadarbības partneris atmaksā neatbilstoši veiktos izdevumus, kurus konstatējusi sadarbības iestāde, un iespējami neatbilstoši veiktos izdevumus, kurus konstatējis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partnera apstiprinājumu, ka projekta ietvaros saņemtais finansējums netiks izmantots saimnieciskās darbības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saskaņā ar projektu iesniegumu atlases nolikumu sagatavo projekta iesniegumu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projekta pieteikuma atbalstāmo darbību aprakstā pamato iekļauto pasākumu un darbību izvēli, ņemot vērā saimnieciski izdevīgākā principa kritērijus, lai nodrošinātu iespējami lielākus ieguvumus pasākuma mērķa grupai vai aptvertu lielāku mērķa grupas dalībnieku skaitu, izmantojot pieejamos projekta resursus.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finansējuma saņēmējam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bērniem un ģimenēm draudzīgas vides attīstība: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izpratnes veidošana par bērniem un ģimenēm draudzīgu un atbalstošu vidi, tai skaitā nevalstisko organizāciju projektu konkurss reģionālu pasākumu organizēšanai;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daudzbērnu ģimeņu un ģimeņu, kuras aprūpē bērnu ar invaliditāti, godināšana un kopābūšanas veicināšana;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pasākumi ģimenei draudzīgiem darba devējiem, kuri nodrošina ģimenei draudzīgu darba vidi un ģimenēm ar bērniem piedāvā pakalpojumus un produktus ar atvieglotiem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un jauniešu raidījumu pieejamības nodrošināšana bērniem ar funkcionāliem un attīstības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izglītojoši un atbalsta pasākumi bērniem un ģimenēm: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un jauniešu izglītošana, veidojot izpratni par jauniešu savstarpējām attiecībām un veicinot veselīgu savstarpējo attiecību stiprināšanu ģimenēs, tai skaitā par tādām tēmām kā veselīgas savstarpējās attiecības ģimenē, drošas attiecības, savstarpējās attiecības un komunikācija;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vecāku un citu bērnu aprūpē iesaistīto personu izglītošana par savstarpējo attiecību veidošanu ģimenē un vecāku lomu veselīgā bērnu attīstībā;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diskriminācijas un vardarbības mazināšana izglītības iestādēs un e-vidē;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sistēmas izveide bērniem un viņu ģimenēm, kuri saskārušies ar tuvinieku vai draugu nāvi, smagu slimību vai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platformas </w:t>
      </w:r>
      <w:r w:rsidR="00000000" w:rsidRPr="00000000" w:rsidDel="00000000">
        <w:rPr>
          <w:i w:val="1"/>
          <w:rtl w:val="0"/>
        </w:rPr>
        <w:t xml:space="preserve">www.vietagimenei.lv</w:t>
      </w:r>
      <w:r w:rsidR="00000000" w:rsidRPr="00000000" w:rsidDel="00000000">
        <w:rPr>
          <w:rtl w:val="0"/>
        </w:rPr>
        <w:t xml:space="preserve"> pilnveide un attīstība;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digitālā risinājuma (moduļa)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demogrāfijas politikas attīstības vajadzībām nepieciešamo pētījumu īstenošana un pētījumu rezultātu popularizēšana, sekmējot uz pierādījumiem balstītas valsts attīstības politikas izstrādi un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pirmajā kārtā: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izpratnes veidošana par bērniem un ģimenēm draudzīgu un atbalstošu vidi, tai skaitā nevalstisko organizāciju projektu konkurss reģionālu pasākumu organizēšanai;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daudzbērnu ģimeņu un ģimeņu, kuras aprūpē bērnu ar invaliditāti, godināšana un kopābūšanas veicināšana;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pasākumi ģimenei draudzīgiem darba devējiem, kuri nodrošina ģimenei draudzīgu darba vidi un ģimenēm ar bērniem piedāvā pakalpojumus un produktus ar atvieglotiem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un jauniešu raidījumu pieejamības nodrošināšana bērniem ar funkcionāliem un attīstības traucējumiem;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bērnu un jauniešu izglītošana, veidojot izpratni par jauniešu savstarpējām attiecībām un veicinot veselīgu savstarpējo attiecību stiprināšanu ģimenēs, tai skaitā par tādām tēmām kā veselīgas savstarpējās attiecības ģimenē, drošas attiecības, savstarpējās attiecības un komunikācija;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vecāku un citu bērnu aprūpē iesaistīto personu izglītošana par savstarpējo attiecību veidošanu ģimenē un vecāku lomu veselīgā bērnu attīstībā;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platformas </w:t>
      </w:r>
      <w:r w:rsidR="00000000" w:rsidRPr="00000000" w:rsidDel="00000000">
        <w:rPr>
          <w:i w:val="1"/>
          <w:rtl w:val="0"/>
        </w:rPr>
        <w:t xml:space="preserve">www.vietagimenei.lv</w:t>
      </w:r>
      <w:r w:rsidR="00000000" w:rsidRPr="00000000" w:rsidDel="00000000">
        <w:rPr>
          <w:rtl w:val="0"/>
        </w:rPr>
        <w:t xml:space="preserve"> pilnveide un attīstība;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otrajā kārtā: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demogrāfijas politikas attīstības vajadzībām nepieciešamo pētījumu īstenošana un pētījumu rezultātu popularizēšana, sekmējot uz pierādījumiem balstītas valsts attīstības politikas izstrādi un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diskriminācijas un vardarbības mazināšana izglītības iestādēs un e-vidē;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sistēmas izveide bērniem un viņu ģimenēm, kuri saskārušies ar tuvinieku vai draugu nāvi, smagu slimību vai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digitālā risinājuma (moduļa) izstrāde.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kuras veido šo noteikumu </w:t>
      </w:r>
      <w:r w:rsidR="00000000" w:rsidRPr="00000000" w:rsidDel="00000000">
        <w:rPr>
          <w:rtl w:val="0"/>
        </w:rPr>
        <w:t xml:space="preserve">20.5.</w:t>
      </w:r>
      <w:r w:rsidR="00000000" w:rsidRPr="00000000" w:rsidDel="00000000">
        <w:rPr>
          <w:rtl w:val="0"/>
        </w:rPr>
        <w:t xml:space="preserve"> 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pasākuma pirmajā kārtā plāno kā vienu izmaksu pozīciju – vienoto likmi 13 procentu apmērā no pārējām šo noteikumu </w:t>
      </w:r>
      <w:r w:rsidR="00000000" w:rsidRPr="00000000" w:rsidDel="00000000">
        <w:rPr>
          <w:rtl w:val="0"/>
        </w:rPr>
        <w:t xml:space="preserve">7.1.</w:t>
      </w:r>
      <w:r w:rsidR="00000000" w:rsidRPr="00000000" w:rsidDel="00000000">
        <w:rPr>
          <w:rtl w:val="0"/>
        </w:rPr>
        <w:t xml:space="preserve"> apakšpunktā minētajām projekta tiešajām attiecināmajām īstenošanas izmaksām, kas nav tiešās attiecināmās personāla izmaksas. Pasākuma otrajā kārtā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minētās atbalstāmās darbības attiecināmās izmaksas plāno kā faktiskās izmaksas. Minētās atbalstāmās darbības ietvaros ir attiecināmas finansējuma saņēmēja un sadarbības partnera projekta vadības personāla un īstenošanas personāla izmaksas. Ja otrās kārtas ietvaros finansējuma saņēmēja un sadarbības partnera projekta vadības un īstenošanas personāla iesaiste projektā tiek nodrošināta saskaņā ar daļlaika izmaksu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tiešās attiecināmās īstenošanas izmaksas – šo noteikumu </w:t>
      </w:r>
      <w:r w:rsidR="00000000" w:rsidRPr="00000000" w:rsidDel="00000000">
        <w:rPr>
          <w:rtl w:val="0"/>
        </w:rPr>
        <w:t xml:space="preserve">20.1.</w:t>
      </w:r>
      <w:r w:rsidR="00000000" w:rsidRPr="00000000" w:rsidDel="00000000">
        <w:rPr>
          <w:rtl w:val="0"/>
        </w:rPr>
        <w:t xml:space="preserve">–</w:t>
      </w:r>
      <w:r w:rsidR="00000000" w:rsidRPr="00000000" w:rsidDel="00000000">
        <w:rPr>
          <w:rtl w:val="0"/>
        </w:rPr>
        <w:t xml:space="preserve">20.4.</w:t>
      </w:r>
      <w:r w:rsidR="00000000" w:rsidRPr="00000000" w:rsidDel="00000000">
        <w:rPr>
          <w:rtl w:val="0"/>
        </w:rPr>
        <w:t xml:space="preserve">apakšpunktā</w:t>
      </w:r>
      <w:r w:rsidR="00000000" w:rsidRPr="00000000" w:rsidDel="00000000">
        <w:rPr>
          <w:rtl w:val="0"/>
        </w:rPr>
        <w:t xml:space="preserve"> minēto darbību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nodrošina atbilstošus apstākļus projekta īstenošanai un projekta rezultātu sasniegšanai.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10.09.2024. noteikumiem Nr. 595)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apakšpunktā minētās tiešās attiecināmās izmaksas ietver šādas finansējuma saņēmēja un sadarbības partnera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granti nevalstiskajām organizācijām šo noteikumu </w:t>
      </w:r>
      <w:r w:rsidR="00000000" w:rsidRPr="00000000" w:rsidDel="00000000">
        <w:rPr>
          <w:rtl w:val="0"/>
        </w:rPr>
        <w:t xml:space="preserve">20.1.1.</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granti darba devējiem šo noteikumu </w:t>
      </w:r>
      <w:r w:rsidR="00000000" w:rsidRPr="00000000" w:rsidDel="00000000">
        <w:rPr>
          <w:rtl w:val="0"/>
        </w:rPr>
        <w:t xml:space="preserve">20.1.3.</w:t>
      </w:r>
      <w:r w:rsidR="00000000" w:rsidRPr="00000000" w:rsidDel="00000000">
        <w:rPr>
          <w:rtl w:val="0"/>
        </w:rPr>
        <w:t xml:space="preserve">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(uzņēmuma) līgumu izmaksas šo noteikumu 20.1.1., 20.1.2., 20.1.3., 20.1.4.,  20.2., 20.3., </w:t>
      </w:r>
      <w:r w:rsidR="00000000" w:rsidRPr="00000000" w:rsidDel="00000000">
        <w:rPr>
          <w:rtl w:val="0"/>
        </w:rPr>
        <w:t xml:space="preserve">21.2.2.</w:t>
      </w:r>
      <w:r w:rsidR="00000000" w:rsidRPr="00000000" w:rsidDel="00000000">
        <w:rPr>
          <w:rtl w:val="0"/>
        </w:rPr>
        <w:t xml:space="preserve"> un </w:t>
      </w:r>
      <w:r w:rsidR="00000000" w:rsidRPr="00000000" w:rsidDel="00000000">
        <w:rPr>
          <w:rtl w:val="0"/>
        </w:rPr>
        <w:t xml:space="preserve">21.2.6. </w:t>
      </w:r>
      <w:r w:rsidR="00000000" w:rsidRPr="00000000" w:rsidDel="00000000">
        <w:rPr>
          <w:rtl w:val="0"/>
        </w:rPr>
        <w:t xml:space="preserve">apakšpunktā</w:t>
      </w:r>
      <w:r w:rsidR="00000000" w:rsidRPr="00000000" w:rsidDel="00000000">
        <w:rPr>
          <w:rtl w:val="0"/>
        </w:rPr>
        <w:t xml:space="preserve"> minēto atbalstāmo darbību īstenošanai,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licenču aprobēšanas, tulkojumu lokalizācijas un pilotēšanas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konsultantu, ekspertu un citu speciālistu atlīdzība;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izvērtējumu un pētījumu veikšanas izmaksas šo noteikumu 20.2.1., 20.2.2., 20.2.3., 20.2.4. un  20.3.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standartizācijas un validācijas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supervīzijas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izdevumi, tai skaitā mācību organizēšanas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IT risinājuma izstrādes un ieviešanas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dalības maksa pasākumos (semināros, konferencēs, mācībās u. c.) atbilstoši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komandējumu izmaksas (tai skaitā ārpus Eiropas Savienības) šo noteikumu </w:t>
      </w:r>
      <w:r w:rsidR="00000000" w:rsidRPr="00000000" w:rsidDel="00000000">
        <w:rPr>
          <w:rtl w:val="0"/>
        </w:rPr>
        <w:t xml:space="preserve">20.2.1.</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w:t>
      </w:r>
      <w:r w:rsidR="00000000" w:rsidRPr="00000000" w:rsidDel="00000000">
        <w:rPr>
          <w:rtl w:val="0"/>
        </w:rPr>
        <w:t xml:space="preserve">20.2.3.</w:t>
      </w:r>
      <w:r w:rsidR="00000000" w:rsidRPr="00000000" w:rsidDel="00000000">
        <w:rPr>
          <w:rtl w:val="0"/>
        </w:rPr>
        <w:t xml:space="preserve">, </w:t>
      </w:r>
      <w:r w:rsidR="00000000" w:rsidRPr="00000000" w:rsidDel="00000000">
        <w:rPr>
          <w:rtl w:val="0"/>
        </w:rPr>
        <w:t xml:space="preserve">20.2.4.</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projekta vadītājam un īstenošanas personālam. Ārvalstu komandējumu izmaksas finansējuma saņēmēja projekta vadītājam un projekta īstenošanas personālam aprēķina un atlīdzina atbilstoši normatīvajiem aktiem, kas nosaka </w:t>
      </w:r>
      <w:r w:rsidR="00000000" w:rsidRPr="00000000" w:rsidDel="00000000">
        <w:rPr>
          <w:rtl w:val="0"/>
        </w:rPr>
        <w:t xml:space="preserve">kārtību, kādā atlīdzināmi ar komandējumiem saistītie izdevumi</w:t>
      </w:r>
      <w:r w:rsidR="00000000" w:rsidRPr="00000000" w:rsidDel="00000000">
        <w:rPr>
          <w:rtl w:val="0"/>
        </w:rPr>
        <w:t xml:space="preserve">, ja tās ir tieši saistītas ar projekta mērķi un projekta rezultāta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minēto atbalstāmo darbību īstenošanai. Iekšzemes komandējumu izmaksas tiek segtas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 un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tai skaitā sadarbības partnera personāls, ir nodarbināts projektā vismaz 30 procentu apmērā no normālā darba laika uz darba līguma pamata vai ja esošo darba vietu aprīkojums ir nolietojies un tiek norakstīts. Ja projekta vadības un īstenošanas personāls, tai skaitā sadarbības partnera personāls, ir nodarbināts nepilnu darba laiku vai daļlaiku, darba vietas aprīkojuma izmaksas ir attiecināmas proporcionāli atlīdzības procentuālajam sadalījumam. Ja darbinieks strādā daļlaiku, tad papildus jāņem vērā darbinieka iesaistes periods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transporta pakalpojumu izmaksas (maksa par degvielu un maksa par sabiedriskā transporta izmantošanu) sedz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savukārt izdevumus par transportlīdzekļu nomu, transporta pakalpojumu pirkšanu, kā arī transportlīdzekļa (tai skaitā specializētā) pakalpojumu pirkšanu sedz kā faktiskās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izmaksas atbilstoši šo noteikumu </w:t>
      </w:r>
      <w:r w:rsidR="00000000" w:rsidRPr="00000000" w:rsidDel="00000000">
        <w:rPr>
          <w:rtl w:val="0"/>
        </w:rPr>
        <w:t xml:space="preserve">27.4.</w:t>
      </w:r>
      <w:r w:rsidR="00000000" w:rsidRPr="00000000" w:rsidDel="00000000">
        <w:rPr>
          <w:rtl w:val="0"/>
        </w:rPr>
        <w:t xml:space="preserve">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informatīvo un izglītojošo pasākumu īstenošanas izmaksas šo noteikumu </w:t>
      </w:r>
      <w:r w:rsidR="00000000" w:rsidRPr="00000000" w:rsidDel="00000000">
        <w:rPr>
          <w:rtl w:val="0"/>
        </w:rPr>
        <w:t xml:space="preserve">20.4.</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īstenošanas izmaksas, tai skaitā pandusu un indukcijas cilpu noma, zīmju valodas tulka un vieglās valodas tulkošanas pakalpojumu, kā arī subtitrēšanas un reāllaika transkripcijas pakalpojumu izmaksas, ja tas ir nepieciešams vides un informācijas pieejamības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ne agrāk par 2024. gada 1. janvāri.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 un sadarbības partneris (uz sadarbības partneri nav attiecināms šo noteikumu </w:t>
      </w:r>
      <w:r w:rsidR="00000000" w:rsidRPr="00000000" w:rsidDel="00000000">
        <w:rPr>
          <w:rtl w:val="0"/>
        </w:rPr>
        <w:t xml:space="preserve">27.1.</w:t>
      </w:r>
      <w:r w:rsidR="00000000" w:rsidRPr="00000000" w:rsidDel="00000000">
        <w:rPr>
          <w:rtl w:val="0"/>
        </w:rPr>
        <w:t xml:space="preserve"> apakšpunkts):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projekta iesnieguma iesniegšanai izstrādā iekšējās kontroles sistēmu korupcijas un interešu konflikta riska novēršanai publiskas personas institūcijā atbilstoši Ministru kabineta 2017. gada 17. oktobra noteikumiem Nr. 630 "Noteikumi par iekšējās kontroles sistēmas pamatprasībām korupcijas un interešu konflikta riska novēršanai publiskas personas institūcijā", kas ietver arī: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(preventīvus pasākumus un konstatēšanas pasākumus interešu konflikta riska kontrolei, tai skaitā paziņošanas procedūru un labošanas pasākumus), ietverot informāciju par interešu konflikta novēršanu saskaņā ar </w:t>
      </w:r>
      <w:r w:rsidR="00000000" w:rsidRPr="00000000" w:rsidDel="00000000">
        <w:rPr>
          <w:rtl w:val="0"/>
        </w:rPr>
        <w:t xml:space="preserve">Eiropas Parlamenta un Padomes 2024. gada 23. septembra Regulu (ES, Euratom) 2024/2509 par finanšu noteikumiem, ko piemēro Savienības vispārējam budžetam (pārstrādāta redakcija</w:t>
      </w:r>
      <w:r w:rsidR="00000000" w:rsidRPr="00000000" w:rsidDel="00000000">
        <w:rPr>
          <w:rtl w:val="0"/>
        </w:rPr>
        <w:t xml:space="preserve">) (turpmāk – regula 2024/2509). Saskaņā ar regulas 2024/2509 279. pantu tā atceļ iepriekšējo Finanšu regulu –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par interešu konflikta, krāpšanas un korupcijas riska novēršanu;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 jārīkojas darbiniekiem, ja viņi vēlas ziņot par iespējamiem pārkāpumiem (tai skaitā iespējamām koruptīvām darbībām), ietverot pasākumus, lai nodrošinātu ziņotāja anonimitāti un aizsardzību;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aizliegtas vienošanās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dubultā finansējuma novēršanas mehānismu, nodrošinot, ka izmaksas nepārklājas ar citiem finansēšanas avotiem, tai skaitā ar Eiropas Savienības kohēzijas politikas programmu 2021.–2027. gadam, Eiropas Savienības struktūrfondu un Kohēzijas fonda 2014.–2020. gada plānošanas perioda darbības programmu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disciplināratbildības piemērošanas procedūru;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pārkāpumiem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20.</w:t>
      </w:r>
      <w:r w:rsidR="00000000" w:rsidRPr="00000000" w:rsidDel="00000000">
        <w:rPr>
          <w:rtl w:val="0"/>
        </w:rPr>
        <w:t xml:space="preserve"> punktā minēto atbalstāmo darbību īstenošanai, atkarībā no līguma veida un satura var paredzēt avansa maksājumus ne vairāk kā 20 procentu apmērā (nepiemērojot instrukciju "</w:t>
      </w:r>
      <w:r w:rsidR="00000000" w:rsidRPr="00000000" w:rsidDel="00000000">
        <w:rPr>
          <w:rtl w:val="0"/>
        </w:rPr>
        <w:t xml:space="preserve">Ārvalstu finanšu instrumentu finansētu civiltiesisku līgumu izstrādes un slēgšanas instrukcija valsts tiešās pārvaldes iestādēs</w:t>
      </w:r>
      <w:r w:rsidR="00000000" w:rsidRPr="00000000" w:rsidDel="00000000">
        <w:rPr>
          <w:rtl w:val="0"/>
        </w:rPr>
        <w:t xml:space="preserve">" </w:t>
      </w:r>
      <w:r w:rsidR="00000000" w:rsidRPr="00000000" w:rsidDel="00000000">
        <w:rPr>
          <w:rtl w:val="0"/>
        </w:rPr>
        <w:t xml:space="preserve">)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retāk kā reizi trijos mēnešos ievieto savā tīmekļvietnē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iepirkumus veic atklātā, pārredzamā, nediskriminējošā, konkurenci nodrošinošā un, kur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inovatīvais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paraksta apliecinājumu par interešu konflikta neesību saskaņā ar</w:t>
      </w:r>
      <w:r w:rsidR="00000000" w:rsidRPr="00000000" w:rsidDel="00000000">
        <w:rPr>
          <w:rtl w:val="0"/>
        </w:rPr>
        <w:t xml:space="preserve"> regulu 2024/2509</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piecas vispārīgas un vismaz trīs specifiskas darbības, kā arī uzkrāj datus un ziņo par vismaz diviem rādītājiem,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uzkrāšanu, uzskaiti un iesniegšanu sadarbības iestādē un apkopo datus par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sasniegtajiem rādītājiem atbilstoši Eiropas Parlamenta un Padomes 2021. gada 24. jūnija Regulas (ES) 2021/1057, ar ko izveido Eiropas Sociālo fondu Plus (ESF+) un atceļ Regulu (ES) 1296/2013, 1. un 2. pielikumam un normatīvajiem aktiem, kas nosaka Eiropas Savienības fondu projektu pārbaužu veikšanas kārtību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finansējuma saņēmējs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25-TA-536</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25-TA-536</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noteikumu_konsolidētā_versija_25-TA-536.docx</dc:title>
</cp:coreProperties>
</file>

<file path=docProps/custom.xml><?xml version="1.0" encoding="utf-8"?>
<Properties xmlns="http://schemas.openxmlformats.org/officeDocument/2006/custom-properties" xmlns:vt="http://schemas.openxmlformats.org/officeDocument/2006/docPropsVTypes"/>
</file>