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469 "Noteikumi par paralēlajiem aizdevumiem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14. punktu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469 "Noteikumi par paralēlajiem aizdevumiem saimnieciskās darbības veicējiem konkurētspējas uzlabošanai" (Latvijas Vēstnesis, 2016, 138. nr.; 2017, 158. nr.; 2018, 7. nr.; 2019, 79. nr.; 2020, 84B., 212. nr.; 2021, 227.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pieejamo finansējumu veido Eiropas Reģionālās attīstības fonda (turpmāk – ERAF) finansējums 7 000 000 </w:t>
      </w:r>
      <w:r w:rsidR="00000000" w:rsidRPr="00000000" w:rsidDel="00000000">
        <w:rPr>
          <w:i w:val="1"/>
          <w:rtl w:val="0"/>
        </w:rPr>
        <w:t xml:space="preserve">euro </w:t>
      </w:r>
      <w:r w:rsidR="00000000" w:rsidRPr="00000000" w:rsidDel="00000000">
        <w:rPr>
          <w:rtl w:val="0"/>
        </w:rPr>
        <w:t xml:space="preserve">apmērā ar iespēju mainīt, palielināt vai samazināt ERAF finansējumu, nepārsniedzot kopējo ERAF finansējumu 3.1.1. specifiskajam atbalsta mērķim, kas pieejams fondu fondā saskaņā ar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(turpmāk – noteikumi Nr. 118) 3.1. apakšpunktu.</w:t>
      </w:r>
      <w:r w:rsidR="00000000" w:rsidRPr="00000000" w:rsidDel="00000000">
        <w:rPr>
          <w:i w:val="1"/>
          <w:rtl w:val="0"/>
        </w:rPr>
        <w:t xml:space="preserve"> </w:t>
      </w:r>
      <w:r w:rsidR="00000000" w:rsidRPr="00000000" w:rsidDel="00000000">
        <w:rPr>
          <w:rtl w:val="0"/>
        </w:rPr>
        <w:t xml:space="preserve">Ja paralēlais aizdevums netiek finansēts no ERAF finansējuma, papildus ir pieejama darbības programmas "Uzņēmējdarbība un inovācijas" papildinājuma 2.2.1.4.1. apakšaktivitātē "Atbalsts aizdevumu veidā komersantu konkurētspējas uzlabošanai" gūto atmaksu publiskā finansējuma daļa 2 000 000 </w:t>
      </w:r>
      <w:r w:rsidR="00000000" w:rsidRPr="00000000" w:rsidDel="00000000">
        <w:rPr>
          <w:i w:val="1"/>
          <w:rtl w:val="0"/>
        </w:rPr>
        <w:t xml:space="preserve">euro</w:t>
      </w:r>
      <w:r w:rsidR="00000000" w:rsidRPr="00000000" w:rsidDel="00000000">
        <w:rPr>
          <w:rtl w:val="0"/>
        </w:rPr>
        <w:t xml:space="preserve"> apmērā. Sabiedrības Altum finansējums šo noteikumu ietvaros nepārsniedz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Sabiedrības Altum pasākuma vadības izmaksām, kas aprēķinātas atbilstoši noteikumu Nr. 118 22. punktam, ERAF finansējums ir pieejams, nepārsniedzot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13. panta 2. un 3. punktā noteiktos ierobežojumus, kā arī programmas īstenošanas laikā pēc pasākumam pieejamā ERAF finansējuma vadības izmaksu finansēšanai attiecināšanas ir pieejams šā pasākuma atmaksātais publiskais finansējums līdz 1,5 % no faktiski izsniegto aizdevumu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valsts aizdevuma summa līdz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pasākuma ERAF finansējuma apguve ir mazāka par 5 600 000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Ja paralēlo aizdevumu līdzfinansē no šo noteikumu 8. punktā minētā ERAF finansējuma, šo noteikumu ietvaros atbalstu var saņemt sīkie (mikro), mazie un vidējie saimnieciskās darbības veicēji – juridiskās personas, kas atbilst Komisijas 2014. gada 17. jūnija Regulas (ES) Nr. 651/2014, ar ko noteiktas atbalsta kategorijas atzīst par saderīgām ar iekšējo tirgu, piemērojot Līguma 107. un 108. pantu (turpmāk – Komisijas regula Nr. 651/2014), I pielikumā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paralēlo aizdevumu līdzfinansē no šo noteikumu 8. punktā minētā atmaksu finansējuma, šo noteikumu ietvaros atbalstu var saņemt arī lielie saimnieciskās darbības veicēji – juridiskās personas, kas atbilst  Komisijas regulas Nr.  651/2014 I pielikumā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20.3.1.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"20.3.1. Komisijas regulas Nr. 651/2014 13. panta "a" punktā noteiktajām nozarēm atbilstoši Komisijas regulas Nr.  651/2014 2. panta 13., 43. un 43a. punktā noteiktajām definīcijām."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20.3.2.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"20.3.2. Komisijas regulas Nr. 651/2014 13. panta "b" punktā noteiktajām nozarēm atbilstoši Komisijas regulas Nr.  651/2014 2. panta 45. un 130. punktā noteiktajām definīcijām un platjoslas tīkla attīstīšanai;".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20.20.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"20.20. Komisijas regulas Nr. 1407/2013 1. pantā noteiktajām nozarēm un darbībām, kā arī kravas transportlīdzekļu iegādei autopārvadājumu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atbilstoši Komisijas regulas Nr. 651/2014 14. panta 5. punktā noteiktajām prasībām sākotnējie ieguldījumi pēc projekta pabeigšanas paliek Latvijas Republikā attiecīgajā kopējā statistiski teritoriālo vienību klasifikācijā jeb NUTS 3. līmeņa intensitātes (turpmāk –  NUTS 3) reģionā, kurā tiek īstenots atbalstāmais projekts, vismaz piecus gadus lielajam saimnieciskās darbības veicējam vai trīs gadus mazajam vai vidējam saimnieciskās darbības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tiek pārkāptas regulas Nr. 1407/2013 prasības, atbalsta saņēmējam ir pienākums atmaksāt sabiedrībai Altum no līdzekļiem, kas ir brīvi no komercdarbības atbalsta, visu projekta ietvaros saņemto nelikumīgo komercdarbības atbalstu, kas sniegts saskaņā ar regulu Nr. 1407/2013,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Ja tiek pārkāptas regulas Nr.  651/2014 prasības, atbalsta saņēmējam ir pienākums atmaksāt sabiedrībai Altum no līdzekļiem, kas ir brīvi no komercdarbības atbalsta, visu projekta ietvaros saņemto nelikumīgo komercdarbības atbalstu, kas sniegts saskaņā ar regulu Nr.  651/2014,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Paralēlo aizdevumu, ko sniedz saskaņā ar šo noteikumu 19. punktu, var piešķirt, ja tiek ievēroti Komisijas regulas Nr. 651/2014 14. panta 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Paralēlā aizdevuma maksimālais apmērs ir 5 000 000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Paralēlā aizdevuma kopējo gada procentu likmi veido procentu likme, kas ir pielīdzināta kredītiestādes ilgtermiņa kredītam vai finanšu līzingam pievienotajai gada procentu likmei, bet ne mazāka kā 3,5 %, un sešu mēnešu EURIBOR procentu likme (vai attiecīgā termiņa indekss, kas to aizvieto). Ja likmes noteikšanas, pārskatīšanas vai grozīšanas brīdī EURIBOR ir negatīvs, tad EURIBOR tiek piemērota 0 (nulles) vērtība."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paralēlo aizdevumu sniedz saskaņā ar šo noteikumu 19.</w:t>
      </w:r>
      <w:r w:rsidR="00000000" w:rsidRPr="00000000" w:rsidDel="00000000">
        <w:rPr>
          <w:vertAlign w:val="superscript"/>
          <w:rtl w:val="0"/>
        </w:rPr>
        <w:t xml:space="preserve">1</w:t>
      </w:r>
      <w:r w:rsidR="00000000" w:rsidRPr="00000000" w:rsidDel="00000000">
        <w:rPr>
          <w:rtl w:val="0"/>
        </w:rPr>
        <w:t xml:space="preserve"> punktu kā </w:t>
      </w:r>
      <w:r w:rsidR="00000000" w:rsidRPr="00000000" w:rsidDel="00000000">
        <w:rPr>
          <w:i w:val="1"/>
          <w:rtl w:val="0"/>
        </w:rPr>
        <w:t xml:space="preserve">de minimis</w:t>
      </w:r>
      <w:r w:rsidR="00000000" w:rsidRPr="00000000" w:rsidDel="00000000">
        <w:rPr>
          <w:rtl w:val="0"/>
        </w:rPr>
        <w:t xml:space="preserve"> atbalstu, pieļaujams izņēmums un sabiedrība Altum var piemērot augstāku gada procentu likmes fiksētās daļas likmi kā kredītiestādes ilgtermiņa kredītam vai finanšu līzingam pievienotās gada procentu likmes fiksētās daļas likmi, lai ievērotu šo noteikumu 16.</w:t>
      </w:r>
      <w:r w:rsidR="00000000" w:rsidRPr="00000000" w:rsidDel="00000000">
        <w:rPr>
          <w:vertAlign w:val="superscript"/>
          <w:rtl w:val="0"/>
        </w:rPr>
        <w:t xml:space="preserve">1</w:t>
      </w:r>
      <w:r w:rsidR="00000000" w:rsidRPr="00000000" w:rsidDel="00000000">
        <w:rPr>
          <w:rtl w:val="0"/>
        </w:rPr>
        <w:t xml:space="preserve"> punktā minētās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Paralēlo aizdevumu, ko sniedz saskaņā ar šo noteikumu 19. punktu, nevar saņemt, ja saimnieciskās darbības veicējs nav iesniedzis sabiedrībā Altum projekta iesniedzēja parakstītu apliecinājumu, ka tas nav veicis un neveiks Komisijas regulas Nr. 651/2014 14. panta 16. punktā norādītās darbības, kuras definētas Komisijas regulas Nr. 651/2014 2. panta 61. punkta "a"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paralēlo aizdevumu sniedz saskaņā ar šo noteikumu 19. punktu, ikvienu sākotnējo ieguldījumu, kurš attiecas uz to pašu vai līdzīgu darbību un kuru atbalsta saņēmējs ir sācis triju gadu laikā no dienas, kad ir sākti darbi pie cita atbalstītā ieguldījuma tajā pašā NUTS 3 2021. gada datu reģionā, uzskata par daļu no vienota ieguldījumu projekta. Ja šis vienotais ieguldījumu projekts ir lielais ieguldījumu projekts saskaņā ar Komisijas regulas Nr. 651/2014 2. panta 52. punktu, atbalstu šo noteikumu ietvaros nepiešķir, ja vienotā ieguldījumu projekta attiecināmo izmaksu kopsumma pārsniedz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42.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Paralēlo aizdevumu, ko sniedz saskaņā ar šo noteikumu 19. punktu,  šajos noteikumos minētajām attiecināmajām izmaksām var apvienot ar citas atbalsta programmas vai individuālā atbalsta projekta ietvaros piešķirto finansējumu, tai skaitā ar </w:t>
      </w:r>
      <w:r w:rsidR="00000000" w:rsidRPr="00000000" w:rsidDel="00000000">
        <w:rPr>
          <w:i w:val="1"/>
          <w:rtl w:val="0"/>
        </w:rPr>
        <w:t xml:space="preserve">de minimis</w:t>
      </w:r>
      <w:r w:rsidR="00000000" w:rsidRPr="00000000" w:rsidDel="00000000">
        <w:rPr>
          <w:rtl w:val="0"/>
        </w:rPr>
        <w:t xml:space="preserve"> atbalstu, ievērojot gan šo noteikumu 29.1. apakšpunktu, gan  nosacījumu, ka šo noteikumu ietvaros piešķirtais finansējums kopā ar citas atbalsta programmas vai individuālā atbalsta projekta ietvaros piešķirto finansējumu nepārsniedz maksimāli pieļaujamo reģionālā finansējuma intensitāti: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Rīgas  NUTS 3 reģionā – 30 % (lielajam saimnieciskās darbības veicējam), 40 % (vidējam saimnieciskās darbības veicējam) vai 50 % (sīkajam (mikro) vai mazajam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Kurzemes, Zemgales, Vidzemes un Latgales  NUTS 3 reģionā – 40 % (lielajam saimnieciskās darbības veicējam), 50 % (vidējam saimnieciskās darbības veicējam) vai 60 % (sīkajam (mikro) vai mazajam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 administratīvām teritorijām Pierīgas reģionā (tai skaitā arī Limbažu novadā, Ogres novadā, Saulkrastu novadā un Tukuma novadā) – 30 % (lielajam saimnieciskās darbības veicējam), 40 % (vidējam saimnieciskās darbības veicējam) vai 50 % (sīkajam (mikro) vai mazajam saimnieciskās darbības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Lēmumu par atbalsta piešķiršanu saskaņā ar Komisijas regulu Nr. 651/2014 var pieņemt līdz šīs regulas darbības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Šo noteikumu 14.</w:t>
      </w:r>
      <w:r w:rsidR="00000000" w:rsidRPr="00000000" w:rsidDel="00000000">
        <w:rPr>
          <w:vertAlign w:val="superscript"/>
          <w:rtl w:val="0"/>
        </w:rPr>
        <w:t xml:space="preserve">1</w:t>
      </w:r>
      <w:r w:rsidR="00000000" w:rsidRPr="00000000" w:rsidDel="00000000">
        <w:rPr>
          <w:rtl w:val="0"/>
        </w:rPr>
        <w:t xml:space="preserve"> punktu piemēro ar 2024.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23-TA-1088</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23-TA-1088</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noteikumu_(grozījumu)_projekts_23-TA-1088.docx</dc:title>
</cp:coreProperties>
</file>

<file path=docProps/custom.xml><?xml version="1.0" encoding="utf-8"?>
<Properties xmlns="http://schemas.openxmlformats.org/officeDocument/2006/custom-properties" xmlns:vt="http://schemas.openxmlformats.org/officeDocument/2006/docPropsVTypes"/>
</file>