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Eiropas Savienības Atveseļošanas un noturības mehānisma  plāna reformas 6.1.2.r. “Muitas kontroles punktos skenēto attēlu attālināta un centralizēta analīze” 6.1.2.4.i. investīcijas “Infrastruktūras izveide kontroles dienestu funkciju īstenošanai Kundziņsalā” (turpmāk - Investīcija) īstenošanu par Eiropas Savienības Atveseļošanas un noturības mehānisma plāna paredzēto finansējumu 12 758 000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šī protokollēmuma 2.punktā minētās Investīcijas izdevumu pievienotās vērtības nodokļa nomaksai ne vairāk kā 2 679 180 </w:t>
      </w:r>
      <w:r w:rsidR="00000000" w:rsidRPr="00000000" w:rsidDel="00000000">
        <w:rPr>
          <w:i w:val="1"/>
          <w:rtl w:val="0"/>
        </w:rPr>
        <w:t xml:space="preserve">euro </w:t>
      </w:r>
      <w:r w:rsidR="00000000" w:rsidRPr="00000000" w:rsidDel="00000000">
        <w:rPr>
          <w:rtl w:val="0"/>
        </w:rPr>
        <w:t xml:space="preserve">apmērā segšanu, tajā skaitā Valsts ieņēmumu dienestam 502 595 euro apmērā un VAS “Valsts nekustamie īpašumi” 2 176 585 </w:t>
      </w:r>
      <w:r w:rsidR="00000000" w:rsidRPr="00000000" w:rsidDel="00000000">
        <w:rPr>
          <w:i w:val="1"/>
          <w:rtl w:val="0"/>
        </w:rPr>
        <w:t xml:space="preserve">euro </w:t>
      </w:r>
      <w:r w:rsidR="00000000" w:rsidRPr="00000000" w:rsidDel="00000000">
        <w:rPr>
          <w:rtl w:val="0"/>
        </w:rPr>
        <w:t xml:space="preserve">apmērā segšanu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Šī protokollēmuma 2. punktā minētās Investīcijas īstenošanai nepieciešamo valsts budžeta priekšfinansējumu un 3. punktā noteikto finansējumu pievienotās vērtības nodokļa segšanai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Atļaut Finanšu ministrijai uzņemties ilgtermiņa saistības budžeta apakšprogrammā 41.13.00 “Finansējums VAS “Valsts nekustamie īpašumi'' īstenojamiem projektiem un pasākumiem” pasākumam “Dotācija VAS "Valsts nekustamie īpašumi" jaunas infrastruktūras izveidei kontroles dienestu funkciju īstenošanai Uriekstes ielā 42, Rīgā (Kundziņsala)” 2023.gadā 337 298 </w:t>
      </w:r>
      <w:r w:rsidR="00000000" w:rsidRPr="00000000" w:rsidDel="00000000">
        <w:rPr>
          <w:i w:val="1"/>
          <w:rtl w:val="0"/>
        </w:rPr>
        <w:t xml:space="preserve">euro</w:t>
      </w:r>
      <w:r w:rsidR="00000000" w:rsidRPr="00000000" w:rsidDel="00000000">
        <w:rPr>
          <w:rtl w:val="0"/>
        </w:rPr>
        <w:t xml:space="preserve">, 2024.gadā  8 239 346 </w:t>
      </w:r>
      <w:r w:rsidR="00000000" w:rsidRPr="00000000" w:rsidDel="00000000">
        <w:rPr>
          <w:i w:val="1"/>
          <w:rtl w:val="0"/>
        </w:rPr>
        <w:t xml:space="preserve">euro</w:t>
      </w:r>
      <w:r w:rsidR="00000000" w:rsidRPr="00000000" w:rsidDel="00000000">
        <w:rPr>
          <w:rtl w:val="0"/>
        </w:rPr>
        <w:t xml:space="preserve">, 2025.gadā  9 082 064 </w:t>
      </w:r>
      <w:r w:rsidR="00000000" w:rsidRPr="00000000" w:rsidDel="00000000">
        <w:rPr>
          <w:i w:val="1"/>
          <w:rtl w:val="0"/>
        </w:rPr>
        <w:t xml:space="preserve">euro</w:t>
      </w:r>
      <w:r w:rsidR="00000000" w:rsidRPr="00000000" w:rsidDel="00000000">
        <w:rPr>
          <w:rtl w:val="0"/>
        </w:rPr>
        <w:t xml:space="preserve">, 2026.gadā  6 038 428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(VAS “Valsts nekustamie īpašumi”)  ne vēlāk kā 6 mēnešus pirms būvniecības beigām iesniegt Finanšu ministrijai (Valsts ieņēmumu dienestam),   Iekšlietu ministrijai (Valsts robežsardzei, Nodrošinājuma valsts aģentūrai, Iekšlietu ministrijas Informācijas centram) un Zemkopības ministrijai (Pārtikas un veterinārajam dienestam) informāciju par nomas maksas un papildu maksājumu, komunālo maksājumu izdevumu segšanai nepieciešamā finansējuma apmēru atbilstoši VAS “Valsts nekustamie īpašumi” faktiskajām nomas objektu pārvaldīšanas izmaksām.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Jautājumu par Finanšu ministrijai (Valsts ieņēmumu dienestam), Iekšlietu ministrijai (Valsts robežsardzei, Nodrošinājuma valsts aģentūrai, Iekšlietu ministrijas Informācijas centram) un Zemkopības ministrijai (Pārtikas un veterinārajam dienestam) papildus nepieciešamo finansējumu aprīkojuma iegādei un uzturēšanai, pārcelšanās izdevumu segšanai 2026. gadam skatīt likumprojekta “Par valsts budžetu 2026.gadam un budžeta ietvaru 2026., 2027. un 2028.gadam”” sagatavošanas procesā, attiecīgi normatīvajos aktos noteiktajā kārtībā Finanšu ministrijai sagatavojot un iesniedzot starpnozaru prioritārā pasākuma pieteikumu.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Gadījumā, ja projekta Nr. 6.1.1.0/17/I/006 "Satiksmes pārvads no Tvaika ielas uz Kundziņsalu" būvniecība un funkcionēšana netiek nodrošināta (pabeigta) līdz 2026.gada 30.jūnijam (šī protokollēmuma 2.punktā minētās investīcijas projekta īstenošanas termiņā) un attiecīgi šī protokollēmuma 2.punktā minētās investīcijas projekts ir nefunkcionāls, Finanšu ministrijai sadarbībā ar Satiksmes ministriju iesniegt Ministru kabinetā informāciju par esošo situāciju un Finanšu ministrijai piedāvāt attiecīgus risinājumus AF plāna Investīcijai piešķirtā finansējuma atmaksai Eiropas Komisijai.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Pieņemt zināšanai, ka Finanšu ministrija (VAS “Valsts nekustamie īpašumi”) šī protokollēmuma 2.punktā minētās Investīcijas īstenošanai paredzētā finansējuma ievaros, pēc ilgtermiņa nomas tiesību nostiprināšanas zemesgrāmatā uz VAS “Valsts nekustamie īpašumi” vārda, veiks ieguldījumus Satiksmes ministrijas valdījumā esošajā nekustamā īpašuma (kadastra Nr. 0100 096 2009) sastāvā esošās zemes vienības ar kopējo platību 1,3217 ha (kadastra apzīmējums 0100 096 2009) daļas aptuveni 0,017 ha platībā apvienotā gājēju un velosipēdu ceļa izbūvei.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23-TA-683</w:t>
    </w:r>
    <w:r>
      <w:br/>
    </w:r>
    <w:r w:rsidR="00000000" w:rsidRPr="00000000" w:rsidDel="00000000">
      <w:rPr>
        <w:rtl w:val="0"/>
      </w:rPr>
      <w:t xml:space="preserve">Izdrukāts 29.07.2026. 21.50 - 3.0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mk_sēdes_protokollēmuma_projekts_23-TA-683.docx</dc:title>
</cp:coreProperties>
</file>

<file path=docProps/custom.xml><?xml version="1.0" encoding="utf-8"?>
<Properties xmlns="http://schemas.openxmlformats.org/officeDocument/2006/custom-properties" xmlns:vt="http://schemas.openxmlformats.org/officeDocument/2006/docPropsVTypes"/>
</file>