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kapitāla daļu un kapitālsabiedrību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kapitāla daļu un kapitālsabiedrību pārvaldības likumā (Latvijas Vēstnesis, 2014, 216. nr.; 2015, 127. nr.; 2016, 120. nr.; 2018, 57. nr.; 2019, 129. nr.; 2020, 243. nr.; 2021, 86.A, 227.,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likuma 58.</w:t>
      </w:r>
      <w:r w:rsidR="00000000" w:rsidRPr="00000000" w:rsidDel="00000000">
        <w:rPr>
          <w:vertAlign w:val="superscript"/>
          <w:rtl w:val="0"/>
        </w:rPr>
        <w:t xml:space="preserve">2</w:t>
      </w:r>
      <w:r w:rsidR="00000000" w:rsidRPr="00000000" w:rsidDel="00000000">
        <w:rPr>
          <w:rtl w:val="0"/>
        </w:rPr>
        <w:t xml:space="preserve"> pantā minētā kapitālsabiedrība savā mājaslapā internetā publicē arī ilgtspējas ziņojumus vai konsolidētos ilgtspējas ziņojumus par pēdējiem pieciem gadiem un šādu ilgtspējas ziņojumu apliecinājuma ziņojumus, kas sagatavoti atbilstoši Ilgtspējas informācijas atklāšanas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58.</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Publiskas personas kapitālsabiedrība un publiski privātā kapitālsabiedrība, kura ir vidēja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pantā noteiktajām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58.</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78. panta otro un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Sabiedrībā izveido padomi, ja iepriekšējā pārskata gadā sabiedrības rādītāji atbilst Gada pārskatu un konsolidēto gada pārskatu likumā noteiktajiem lielas sabiedrības kritērijiem.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Sabiedrībā var izveidot padomi, ja iepriekšējā pārskata gadā sabiedrības rādītāji atbilst Gada pārskatu un konsolidēto gada pārskatu likumā noteiktajiem vidējas sabiedrības kritērijiem."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35.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 Līdz brīdim, kad šā likuma 58.</w:t>
      </w:r>
      <w:r w:rsidR="00000000" w:rsidRPr="00000000" w:rsidDel="00000000">
        <w:rPr>
          <w:vertAlign w:val="superscript"/>
          <w:rtl w:val="0"/>
        </w:rPr>
        <w:t xml:space="preserve">2</w:t>
      </w:r>
      <w:r w:rsidR="00000000" w:rsidRPr="00000000" w:rsidDel="00000000">
        <w:rPr>
          <w:rtl w:val="0"/>
        </w:rPr>
        <w:t xml:space="preserve"> pantā minētajai publiskas personas kapitālsabiedrībai un publiski privātajai kapitālsabiedrībai kļūst saistošs pienākums sniegt ilgtspējas ziņojumu saskaņā ar Ilgtspējas informācijas atklāšanas likumā noteikto kārtību, tā sniedz nefinanšu paziņojumu saskaņā ar šā likuma 58.</w:t>
      </w:r>
      <w:r w:rsidR="00000000" w:rsidRPr="00000000" w:rsidDel="00000000">
        <w:rPr>
          <w:vertAlign w:val="superscript"/>
          <w:rtl w:val="0"/>
        </w:rPr>
        <w:t xml:space="preserve">2</w:t>
      </w:r>
      <w:r w:rsidR="00000000" w:rsidRPr="00000000" w:rsidDel="00000000">
        <w:rPr>
          <w:rtl w:val="0"/>
        </w:rPr>
        <w:t xml:space="preserve"> un 58.</w:t>
      </w:r>
      <w:r w:rsidR="00000000" w:rsidRPr="00000000" w:rsidDel="00000000">
        <w:rPr>
          <w:vertAlign w:val="superscript"/>
          <w:rtl w:val="0"/>
        </w:rPr>
        <w:t xml:space="preserve">3</w:t>
      </w:r>
      <w:r w:rsidR="00000000" w:rsidRPr="00000000" w:rsidDel="00000000">
        <w:rPr>
          <w:rtl w:val="0"/>
        </w:rPr>
        <w:t xml:space="preserve"> pantā noteikto kārtību (redakcijā, kas stājās spēkā 2021. gada 8. decembrī)."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23-TA-3259</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23-TA-3259</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likumprojekts_(grozījumi)_23-TA-3259.docx</dc:title>
</cp:coreProperties>
</file>

<file path=docProps/custom.xml><?xml version="1.0" encoding="utf-8"?>
<Properties xmlns="http://schemas.openxmlformats.org/officeDocument/2006/custom-properties" xmlns:vt="http://schemas.openxmlformats.org/officeDocument/2006/docPropsVTypes"/>
</file>