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2016. gada 27. septembra noteikumos Nr. 631 "Rūpniecības produktu kodu saraksta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21. panta 1. un 2.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2016. gada 27. septembra noteikumos Nr. 631 "Rūpniecības produktu kodu saraksta noteikumi" (Latvijas Vēstnesis, 2016, 189.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Statistikas nodrošināšanā izmanto apvienoto rūpniecības produktu kodu sarakstu un ar Komisijas  2022. gada 12. decembra Īstenošanas Regulu (ES) 2022/2552,  ar ko saskaņā ar Eiropas Parlamenta un Padomes Regulu (ES) 2019/2152 nosaka datu prasību tehniskās specifikācijas detalizētajam tematam “Rūpniecības produkcijas statistika”, izveidojot rūpniecisko ražojumu klasifikācijas dalījumu, un ar ko attiecībā uz ražojumu klasifikācijas tvērumu groza Komisijas Īstenošanas Regulu (ES) 2020/1197, noteikto rūpniecības produkcijas klasifikāciju (turpmāk – PRODCOM klasifikācija). Centrālā statistikas pārvalde nodrošina rūpniecības produktu kodu saraksta un PRODCOM klasifikācijas tehnisku apvienošanu vienā datnē un publicēšanu savā tīmekļvietnē."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23-TA-927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23-TA-927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