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15. augusta noteikumos Nr. 463 "Programmas "Iespējkapitāla ieguldījumi"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14. punktu un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15. augusta noteikumos Nr. 463 "Programmas "Iespējkapitāla ieguldījumi" īstenošanas noteikumi" (Latvijas Vēstnesis, 2023, 160.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tas mikrouzņēmumu, mazo un vidējo uzņēmumu grupas līmenī (turpmāk - MVU grupas līmenī) nav kotēts atbilstoši Komisijas regulas Nr. 651/2014 2. panta 76. punktā minētajai definīcijai, ievērojot Komisijas regulas Nr. 651/2014 21. panta 3. punkta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atbalsts – pašu kapitāla sākotnējais ieguldījums saskaņā ar Komisijas regulas Nr. 651/2014 2. panta 74. punktā noteikto definīciju vai kvazikapitāla sākotnējais ieguldījums saskaņā ar Komisijas regulas Nr. 651/2014 2. panta 66. punktā noteikto definīciju un Komisijas regulas Nr. 651/2014 21. panta 17. punktu, vai turpmākais ieguldījums saskaņā ar Komisijas regulas Nr. 651/2014 2. panta 77. punktā noteikto definīciju;".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atbalsta piešķiršanas brīdis – brīdis, kad finanšu starpnieks ir pieņēmis lēmumu par atbalsta piešķiršanu. Lēmumu par atbalsta piešķiršanu. Lēmumu par atbalsta piešķiršanu saskaņā ar Komisijas regulu Nr. 651/2014 var pieņemt līdz šīs regulas darbības beigām. Ja atbalsts tiek piešķirts atbilstoši šo noteikumu 21.</w:t>
      </w:r>
      <w:r w:rsidR="00000000" w:rsidRPr="00000000" w:rsidDel="00000000">
        <w:rPr>
          <w:vertAlign w:val="superscript"/>
          <w:rtl w:val="0"/>
        </w:rPr>
        <w:t xml:space="preserve">1</w:t>
      </w:r>
      <w:r w:rsidR="00000000" w:rsidRPr="00000000" w:rsidDel="00000000">
        <w:rPr>
          <w:rtl w:val="0"/>
        </w:rPr>
        <w:t xml:space="preserve"> punktam, lēmumu par atbalsta piešķiršanu saskaņā ar Eiropas Komisijas 2023. gada 13. decembra Regula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var pieņemt līdz šīs regulas darbības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efektīvais laiks – laiks, ko nosaka proporcionāli, ņemot vērā investīciju perioda laiku mēnešos līdz 2029. gada 31. decembrim pret kopējo investīciju perioda laiku mēnešos."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programmas īstenošanai no 2030. gada 1. janvāra pieejams finansējums Eiropas Savienības struktūrfondu un Kohēzijas fonda 2014.–2020. gada plānošanas perioda darbības programmas "Izaugsme un nodarbinātība" 3.1.2. specifiskā atbalsta mērķa "Palielināt straujas izaugsmes komersantu skaitu" 3.1.2.1. pasākuma "Riska kapitāls" atmaksas līdz 11 500 000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Finanšu starpnieka pārvaldības maksa, kas radusies līdz 2029.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 ir attiecināma no šo noteikumu 5.1. apakšpunktā minētā finansējuma pilnā apmērā, ja līdz 2029. gada 31. decembrim ir veikti ieguldījumi gala saņēmējos vismaz 70% apmērā no attiecīgā fonda kapitāla, kas paredzēts ieguldījumiem gala saņēmējos, ievērojot investīciju perioda efektīvo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 ja līdz 2029. gada 31. decembrim ir veikti ieguldījumi gala saņēmējos mazāk nekā 70% apmērā no attiecīgā fonda kapitāla, kas paredzēts ieguldījumiem gala saņēmējos, ievērojot investīciju perioda efektīvo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2.1. no šo noteikumu 5.1. apakšpunktā minētā finansējuma attiecināmas izmaksas proporcionāli, aprēķinot ieguldījumus gala saņēmējos pret paredzētajiem ieguldījumiem gala saņēmējos vismaz 70% apmērā no attiecīgā fonda kapitāla, kas paredzēts ieguldījumiem gala saņēmējos, ievērojot investīciju perioda efektīvo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2.2. no šo noteikumu 5.2. apakšpunktā minētā finansējuma attiecināmas izmaksas, kas nav attiecināmas šo noteikumu 5.</w:t>
      </w:r>
      <w:r w:rsidR="00000000" w:rsidRPr="00000000" w:rsidDel="00000000">
        <w:rPr>
          <w:vertAlign w:val="superscript"/>
          <w:rtl w:val="0"/>
        </w:rPr>
        <w:t xml:space="preserve">1</w:t>
      </w:r>
      <w:r w:rsidR="00000000" w:rsidRPr="00000000" w:rsidDel="00000000">
        <w:rPr>
          <w:rtl w:val="0"/>
        </w:rPr>
        <w:t xml:space="preserve">2.1. apakšpunkta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21.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Ja gala saņēmējs neatbilst šo noteikumu 2.1.2. apakšpunktā noteiktajām prasībām, tad atbalstu var piešķirt kā </w:t>
      </w:r>
      <w:r w:rsidR="00000000" w:rsidRPr="00000000" w:rsidDel="00000000">
        <w:rPr>
          <w:i w:val="1"/>
          <w:rtl w:val="0"/>
        </w:rPr>
        <w:t xml:space="preserve">de minimis</w:t>
      </w:r>
      <w:r w:rsidR="00000000" w:rsidRPr="00000000" w:rsidDel="00000000">
        <w:rPr>
          <w:rtl w:val="0"/>
        </w:rPr>
        <w:t xml:space="preserve"> atbalstu atbilstoši Komisijas regulas Nr. 651/2014 21. panta 18. punktam, ievērojot,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1. attiecībā uz Komisijas regulas Nr. 651/2014 21. panta 18. punkta "a" apakšpunktu jāizpilda nosacījumi atbilstoši Komisijas regulai Nr. 2023/2831. Atbalstu vienam vienotam uzņēmumam piešķir, nepārsniedzot Komisijas regulas Nr. 2023/2831 3. panta 2. punktā noteikto </w:t>
      </w:r>
      <w:r w:rsidR="00000000" w:rsidRPr="00000000" w:rsidDel="00000000">
        <w:rPr>
          <w:i w:val="1"/>
          <w:rtl w:val="0"/>
        </w:rPr>
        <w:t xml:space="preserve">de minimis</w:t>
      </w:r>
      <w:r w:rsidR="00000000" w:rsidRPr="00000000" w:rsidDel="00000000">
        <w:rPr>
          <w:rtl w:val="0"/>
        </w:rPr>
        <w:t xml:space="preserve"> atbalsta maksimālo apmēru, kā arī ievērojot Komisijas regulas Nr. 2023/2831 3. panta 8. punkta nosacījumus uzņēmumu apvienošanās vai iegādes gadījumā un Komisijas regulas Nr. 2023/2831 3. panta 9. punkta nosacījumus uzņēmuma sadalīšanas gadījumā. Viens vienots uzņēmums ir uzņēmums, kas atbilst Komisijas regulas Nr. 2023/2831 2. panta 2. punktā minētajiem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2. tiek izpildīts Komisijas regulas Nr. 651/2014 21. panta 18. punkta "b" apakšpunkts;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 attiecībā uz Komisijas regulas Nr. 651/2014 21. panta 18. punkta "c" apakšpunktu jāpiesaista papildu finansējums no Komisijas regulas Nr. 651/2014 2. panta 72. punktā definētā neatkarīgā privātā ieguldītāja finanšu starpnieka vai gala saņēmēja līmenī, lai panāktu privātās līdzdalības kopējo īpatsvaru, kas sēklas kapitāla, sākuma kapitāla vai izaugsmes kapitāla ieguldījumu veidā gala saņēmējā MVU grupas līmenī sasniedz: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3.1. vismaz 60 procentus, ja kā finansējuma avots tiek izmantots šo noteikumu 5.2. apakšpunktā minētais finansējums atbalstam, kas sniegts ārpus Latvijas, vai atbalstam, kas sniegts Latvijā no 2028. gada 1. janvāra;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3.2. vismaz 30 procentus, ja kā finansējuma avots tiek izmantots šo noteikumu 5.1. vai 5.2. apakšpunktā minētais finansējums un atbalsts tiek sniegts Latvijā līdz 2027.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4. gala saņēmējs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uzskaites veidlapu paraugiem;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5. finanšu starpnieks ir izstrādājis iekšējo procedūru par </w:t>
      </w:r>
      <w:r w:rsidR="00000000" w:rsidRPr="00000000" w:rsidDel="00000000">
        <w:rPr>
          <w:i w:val="1"/>
          <w:rtl w:val="0"/>
        </w:rPr>
        <w:t xml:space="preserve">de minimis</w:t>
      </w:r>
      <w:r w:rsidR="00000000" w:rsidRPr="00000000" w:rsidDel="00000000">
        <w:rPr>
          <w:rtl w:val="0"/>
        </w:rPr>
        <w:t xml:space="preserve"> atbalsta sniegšanu, ieklaujot </w:t>
      </w:r>
      <w:r w:rsidR="00000000" w:rsidRPr="00000000" w:rsidDel="00000000">
        <w:rPr>
          <w:i w:val="1"/>
          <w:rtl w:val="0"/>
        </w:rPr>
        <w:t xml:space="preserve">de minimis</w:t>
      </w:r>
      <w:r w:rsidR="00000000" w:rsidRPr="00000000" w:rsidDel="00000000">
        <w:rPr>
          <w:rtl w:val="0"/>
        </w:rPr>
        <w:t xml:space="preserve">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22.9.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"22.9. atbalstu saskaņā ar šo noteikumu 30.</w:t>
      </w:r>
      <w:r w:rsidR="00000000" w:rsidRPr="00000000" w:rsidDel="00000000">
        <w:rPr>
          <w:vertAlign w:val="superscript"/>
          <w:rtl w:val="0"/>
        </w:rPr>
        <w:t xml:space="preserve">1</w:t>
      </w:r>
      <w:r w:rsidR="00000000" w:rsidRPr="00000000" w:rsidDel="00000000">
        <w:rPr>
          <w:rtl w:val="0"/>
        </w:rPr>
        <w:t xml:space="preserve"> un 38.</w:t>
      </w:r>
      <w:r w:rsidR="00000000" w:rsidRPr="00000000" w:rsidDel="00000000">
        <w:rPr>
          <w:vertAlign w:val="superscript"/>
          <w:rtl w:val="0"/>
        </w:rPr>
        <w:t xml:space="preserve">1</w:t>
      </w:r>
      <w:r w:rsidR="00000000" w:rsidRPr="00000000" w:rsidDel="00000000">
        <w:rPr>
          <w:rtl w:val="0"/>
        </w:rPr>
        <w:t xml:space="preserve"> punktu nepiešķir Komisijas regulas Nr. 2023/2831 1. panta 1. punktā noteiktajām nozarēm un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Ja gala saņēmējs vienlaikus darbojas šo noteikumu ietvaros atbalstāmajās un neatbalstāmajās nozarēs un darbības jomās, tas nodrošina, ka darbības vai izmaksas minētajās nozarēs tiek nošķirtas saskaņā ar Komisijas regulas Nr. 651/2014 1. panta 3. punktu vai Komisijas regulas Nr. 2023/2831 1. panta 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Šo noteikumu ietvaros piešķirtā atbalsta apmērs atbilstoši Komisijas regulas Nr. 651/2014 21. pantam ir vienāds ar jaunuzņēmumu, sākuma stadijas vai izaugsmes stadijas iespējkapitāla fonda ieguldījuma apmēru, izņemot gadījumu, ja atbalsts tiek sniegts kā kvazikapitāla sākotnējais ieguldījums saskaņā ar Komisijas regulas Nr. 651/2014 2. panta 66. punktā noteikto definīciju un Komisijas regulas Nr. 651/2014 21. panta 17. punktu. Tādā gadījumā bruto dotācijas ekvivalentu aprēķina,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finanšu starpnieka izsniegtajam aizdevuma saņēmēja reitingam un piedāvātajam nodrošinājumam, bet ne mazāk kā 650 bāzes punktu apmērā vai ne mazāk kā 1000 bāzes punktu nenodrošinātam aizdevumam."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24-TA-247</w:t>
    </w:r>
    <w:r>
      <w:br/>
    </w:r>
    <w:r w:rsidR="00000000" w:rsidRPr="00000000" w:rsidDel="00000000">
      <w:rPr>
        <w:rtl w:val="0"/>
      </w:rPr>
      <w:t xml:space="preserve">Izdrukāts 29.07.2026. 22.10 - 1.0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24-TA-247</w:t>
    </w:r>
    <w:r>
      <w:br/>
    </w:r>
    <w:r w:rsidR="00000000" w:rsidRPr="00000000" w:rsidDel="00000000">
      <w:rPr>
        <w:rtl w:val="0"/>
      </w:rPr>
      <w:t xml:space="preserve">Izdrukāts 29.07.2026. 22.10 - 1.0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noteikumu_(grozījumu)_projekts_24-TA-247.docx</dc:title>
</cp:coreProperties>
</file>

<file path=docProps/custom.xml><?xml version="1.0" encoding="utf-8"?>
<Properties xmlns="http://schemas.openxmlformats.org/officeDocument/2006/custom-properties" xmlns:vt="http://schemas.openxmlformats.org/officeDocument/2006/docPropsVTypes"/>
</file>