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traucējumu un funkcionālo spēju novērtēšanas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12.09.2017. noteikumiem Nr. 544)</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neskatoties uz ārstēšanu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viegli simptomi vai periodiski mēreni simptomi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mēreni simptomi vai periodiski smagi simptomi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smagi simptomi vai periodiski ļoti smagi simptomi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fizikālā atradne ir viegla vai periodiski 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fizikālā atradne ir mērena vai periodiski 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fizikālā atradne ir smaga vai periodiski ļoti smaga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vieglas izmaiņas vai periodiski mērenas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mērenas izmaiņas vai periodiski smagas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nepārtrauktu ārstēšanu,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laika periodā,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eksperts izdara gala slēdzienu par klienta funkcionēšanas ierobežojumu, kā arī izsaka viedokli par ierobežojuma stabilitāti un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salīdzinot ar normāli pieņemto attiecīgā vecuma grupā). Nosakāma 3. invaliditātes grupa, kā arī vispārējo darbspēju zaudējums 25–59 %;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salīdzinot ar normāli pieņemto attiecīgā vecuma grupā, epizodiski nepieciešama palīdzība vai uzraudzība). Nosakāma 2. invaliditātes grupa, kā arī vispārējo darbspēju zaudējums 60–79 %;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1.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noteikumu_konsolidētā_versija_p5_22-TA-346.docx</dc:title>
</cp:coreProperties>
</file>

<file path=docProps/custom.xml><?xml version="1.0" encoding="utf-8"?>
<Properties xmlns="http://schemas.openxmlformats.org/officeDocument/2006/custom-properties" xmlns:vt="http://schemas.openxmlformats.org/officeDocument/2006/docPropsVTypes"/>
</file>