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22.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756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Informācija, ko sagatavo un iesniedz Valsts kase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Informācija par valsts un pašvaldību izsniegtajiem galvojumiem, kas samaksāti aizņēmēja vietā n–1 gadā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29"/>
        <w:gridCol w:w="1004"/>
        <w:gridCol w:w="991"/>
        <w:gridCol w:w="978"/>
        <w:gridCol w:w="939"/>
        <w:gridCol w:w="914"/>
        <w:gridCol w:w="888"/>
        <w:gridCol w:w="888"/>
        <w:gridCol w:w="824"/>
        <w:gridCol w:w="824"/>
        <w:gridCol w:w="721"/>
        <w:gridCol w:w="721"/>
        <w:tblGridChange w:id="0">
          <w:tblGrid>
            <w:gridCol w:w="1029"/>
            <w:gridCol w:w="1004"/>
            <w:gridCol w:w="991"/>
            <w:gridCol w:w="978"/>
            <w:gridCol w:w="939"/>
            <w:gridCol w:w="914"/>
            <w:gridCol w:w="888"/>
            <w:gridCol w:w="888"/>
            <w:gridCol w:w="824"/>
            <w:gridCol w:w="824"/>
            <w:gridCol w:w="721"/>
            <w:gridCol w:w="72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Galvotājs (valsts/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pašvaldība)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saņēmējs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saņēmēja institucionālais sektors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Aizdevējs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līguma summa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Galvotāja samaksātie līdzekļi aizņēmēja vietā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Aizņēmēja samaksātie līdzekļi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Atgūtā summa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procenti un citi maksājumi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procenti un citi maksājumi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procenti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 citi maksājumi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Valsts izsniegto galvojumu procenti un citi maksājumi n–1 gadā: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63"/>
        <w:gridCol w:w="3083"/>
        <w:gridCol w:w="2943"/>
        <w:tblGridChange w:id="0">
          <w:tblGrid>
            <w:gridCol w:w="3163"/>
            <w:gridCol w:w="3083"/>
            <w:gridCol w:w="29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saņēmējs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veids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summa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Nedrošās prasības (aizdevumi ar kavētiem maksājumiem)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6"/>
        <w:gridCol w:w="3080"/>
        <w:gridCol w:w="2963"/>
        <w:gridCol w:w="2963"/>
        <w:tblGridChange w:id="0">
          <w:tblGrid>
            <w:gridCol w:w="3146"/>
            <w:gridCol w:w="3080"/>
            <w:gridCol w:w="2963"/>
            <w:gridCol w:w="296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valdība (S130000)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Apakšsektoru sadalījumā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struktūras (S130100)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struktūras (S130300)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valsts struktūru (S130100) izmantotajiem atvasinātajiem finanšu instrumentiem n–1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valsts struktūru (S130100) izmantoto atvasināto finanšu instrumentu veidu uzskaitījums;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informācija par ārpustirgus mijmaiņas darījumiem;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informācija par mijmaiņas darījumu atcelšanu: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3"/>
        <w:gridCol w:w="1543"/>
        <w:gridCol w:w="1503"/>
        <w:gridCol w:w="1453"/>
        <w:gridCol w:w="1382"/>
        <w:gridCol w:w="1273"/>
        <w:tblGridChange w:id="0">
          <w:tblGrid>
            <w:gridCol w:w="1583"/>
            <w:gridCol w:w="1543"/>
            <w:gridCol w:w="1503"/>
            <w:gridCol w:w="1453"/>
            <w:gridCol w:w="1382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Mijmaiņas darījuma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summa, valūta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spēkā stāšanās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(dd/mm/gg)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beigu termiņš (pirms atcelšanas) (dd/mm/gg)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atcelšanas datums (dd/mm/gg)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 maksājuma summa, atceļot darījumu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 Atsevišķa rinda par katru aizņēmēja vietā veikto maksājumu.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Procenti, saistību maksa, soda procenti, riska procenti valdībai, apkalpošanas maksas, soda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Nedrošās prasības (aizdevumi) ir tādas prasības, kuras atbilst vismaz vienam no šādiem raksturojumiem: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1) procentu vai pamatsummas maksājums tiek kavēts par vismaz 90 dienām;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2) procentu maksājumi, kuru termiņš ir 90 dienas vai vairāk, ir kapitalizēti, refinansēti vai kavēti saskaņā ar līgumu;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3) maksājumi tiek kavēti mazāk par 90 dienām, bet pastāv citi iemesli (piemēram, debitors pieteicis maksātnespēju), kas liek apšaubīt maksājuma veikšanu pilnā 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4</w:t>
      </w:r>
      <w:r w:rsidR="00000000" w:rsidRPr="00000000" w:rsidDel="00000000">
        <w:rPr>
          <w:sz w:val="24"/>
          <w:rtl w:val="0"/>
        </w:rPr>
        <w:t xml:space="preserve"> Izņemot institucionālo sektoru kodus S130130, S130140, S130330, S130340."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noteikumu_(grozījumu)_projekts_p2_24-TA-1645.docx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