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februārī (prot. Nr. 6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9. panta pirmo daļu, 37. panta pirmās daļas 4. punktu un 44. panta astotās daļas 1. punktu atļaut valsts akciju sabiedrībai "Valsts nekustamie īpašumi" pārdot par brīvu cenu šādus valsts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"Zariņi" (nekustamā īpašuma kadastra Nr. 4484 006 0125) – zemes vienību  2,2 ha platībā (zemes vienības kadastra apzīmējums 4484 006 0125) – Salienas pagastā, Augšdaugavas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"Saliena-35" (nekustamā īpašuma kadastra Nr. 4484 003 0337) – zemes vienību 4,81 ha platībā (zemes vienības kadastra apzīmējums 4484 003 0337) – Salienas pagastā, Augšdaugavas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21-TA-1521</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21-TA-1521</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rīkojuma_projekts_21-TA-1521.docx</dc:title>
</cp:coreProperties>
</file>

<file path=docProps/custom.xml><?xml version="1.0" encoding="utf-8"?>
<Properties xmlns="http://schemas.openxmlformats.org/officeDocument/2006/custom-properties" xmlns:vt="http://schemas.openxmlformats.org/officeDocument/2006/docPropsVTypes"/>
</file>