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Patērētāju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Patērētāju tiesību aizsardzības likumā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246. nr.; 2024, 38., 107. nr.; 2025, 124.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w:t>
      </w:r>
      <w:r w:rsidR="00000000" w:rsidRPr="00000000" w:rsidDel="00000000">
        <w:rPr>
          <w:vertAlign w:val="superscript"/>
          <w:rtl w:val="0"/>
        </w:rPr>
        <w:t xml:space="preserve">1</w:t>
      </w:r>
      <w:r w:rsidR="00000000" w:rsidRPr="00000000" w:rsidDel="00000000">
        <w:rPr>
          <w:rtl w:val="0"/>
        </w:rPr>
        <w:t xml:space="preserve">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citu finanšu pakalpojumu sniedzēju, kas nav minēts šīs daļas 1., 2., 4., 5. un 6. punktā un kura darbībai atļauju ir izsniegusi Latvijas Banka, un kuram citos normatīvajos aktos ir paredzētas tiesības sniegt patērētāju kreditēšanas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Speciālā atļauja (licence) tiek izsniegta uz nenoteiktu laiku. Latvijas Banka nosaka prasības un kārtību speciālās atļaujas (licences) izsniegšanai, anulēšanai un darbības apturēšanai, tajā skaitā prasības par pamatkapitālu, prasības attiecībā uz kapitālsabiedrības padomes un valdes locekļiem, kā arī citas prasības, kādām jāatbilst kapitālsabiedrībai, lai tā varētu saņemt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Kapitālsabiedrība, kura vēlas saņemt speciālo atļauju (licenci), maksā Latvijas Bankai 2500 </w:t>
      </w:r>
      <w:r w:rsidR="00000000" w:rsidRPr="00000000" w:rsidDel="00000000">
        <w:rPr>
          <w:i w:val="1"/>
          <w:rtl w:val="0"/>
        </w:rPr>
        <w:t xml:space="preserve">euro</w:t>
      </w:r>
      <w:r w:rsidR="00000000" w:rsidRPr="00000000" w:rsidDel="00000000">
        <w:rPr>
          <w:rtl w:val="0"/>
        </w:rPr>
        <w:t xml:space="preserve">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Kapitālsabiedrība, kas saņēmusi speciālo atļauju (licenci), maksā Latvijas Bankai 5000 </w:t>
      </w:r>
      <w:r w:rsidR="00000000" w:rsidRPr="00000000" w:rsidDel="00000000">
        <w:rPr>
          <w:i w:val="1"/>
          <w:rtl w:val="0"/>
        </w:rPr>
        <w:t xml:space="preserve">euro</w:t>
      </w:r>
      <w:r w:rsidR="00000000" w:rsidRPr="00000000" w:rsidDel="00000000">
        <w:rPr>
          <w:rtl w:val="0"/>
        </w:rPr>
        <w:t xml:space="preserve"> gadā un papildus līdz 0,033 procentiem (ieskaitot) no kapitālsabiedrības vidējās patērētājiem izsniegto kredītu kredītportfeļa apjoma vērtības katrā kalendāra gada ceturksnī, bet kopējā tās maksa Latvijas Bankai nepārsniedz 100 000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"Ministru kabinets" ar vārdiem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"Patērētāju tiesību aizsardzības centrs" ar vārdiem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"reģistrācijas valsts nodevas un ikgadējās uzraudzības valsts nodevas apmēru un tās samaksas kārtību, kārtību, kādā notiek sadarbība ar citu Eiropas Savienības dalībvalstu kompetentajām iestādēm, kā arī prasības kredīta starpniekiem un kredīta starpnieku pārstāvjiem nosaka Ministru kabinets" ar vārdiem "kārtību, kādā notiek sadarbība ar citu Eiropas Savienības dalībvalstu kompetentajām iestādēm, kā arī prasības kredīta starpniekiem un kredīta starpnieku pārstāvjiem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Kredīta starpnieks un kredīta starpnieka pārstāvis par reģistrācijai iesniegto dokumentu un informācijas izskatīšanu maksā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persona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juridiska persona –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Kredīta starpnieks un kredīta starpnieka pārstāvis maksā Latvijas Bankai ikgadēju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persona –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juridiska persona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10.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 daļa neattiecas uz finanšu pakalpojumu jomu. Finanšu pakalpojumu jomā minētās prasības un to piemērošanas kārtību nosaka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17.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Šā panta trešā daļa neattiecas uz finanšu pakalpojumu jomu. Finanšu pakalpojumu jomā minētās prasības un to piemērošanas kārtību var noteikt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likumā un citos normatīvajos aktos noteikto patērētāju tiesību aizsardzības uzraudzību un kontroli finanšu pakalpojumu jomā veic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patērētāju tiesību aizsardzību finanšu pakalpojumu jomā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tirgus uzraudzību un kontroli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izsniedzot, apturot un anulējot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reģistrējot un uzraugot kredīta starpniekus un kredīta starpnieku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veicot negodīgas komercprakses un reklāmas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izvērtējot par patērētāju tiesību aizsardzības normatīvo aktu pārkāpumiem saņemtos iesniegumus un sūdzības, ņemot vērā iespējamā pārkāpuma būtiskumu un potenciālo kaitējumu patērētāju kolektīvajām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patērētāju tiesību ievērošanas uzraudzību līgumu projektos un līgumos, ko patērētāji slēdz ar finanšu pakalpojumu sniedzējiem, kā arī veicot normatīvajos aktos paredzētās darbības, lai pakalpojuma sniedzējs grozītu līguma projektu vai pārtrauktu pildīt līguma noteikumus, ja līguma projektā vai noslēgtajā līgumā konstatēti netaisnīgi vai neskaidri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sniedzot palīdzību patērētājiem strīdu risināšanā ar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atbilstoši kompetencei veicot citas normatīvajos aktos noteiktās darbības."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25.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pēc vārda "funkcijas" ar vārdiem "atbilstoši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25.</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b w:val="1"/>
          <w:vertAlign w:val="superscript"/>
          <w:rtl w:val="0"/>
        </w:rPr>
        <w:t xml:space="preserve">3</w:t>
      </w:r>
      <w:r w:rsidR="00000000" w:rsidRPr="00000000" w:rsidDel="00000000">
        <w:rPr>
          <w:b w:val="1"/>
          <w:rtl w:val="0"/>
        </w:rPr>
        <w:t xml:space="preserve"> pants. Ziņošana Latvijas Bankai par iespējamiem un faktiskiem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iespējamiem un faktiskiem šā likuma un uz šā likuma pamata izdoto Latvijas Bankas noteikumu pārkāpumiem finanšu pakalpojumu jomā ikviena persona var ziņot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izveido un uztur efektīvu un uzticamu ziņošanas sistēmu, kas ietver vismaz šādus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tiek saņemti ziņojumi par pārkāpumiem un kādā veicama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normatīvajiem aktiem par fizisko personu datu aizsardzību – tās personas datu aizsardzību, kura ziņo par pārkāpumu, kā arī tās fiziskās personas datu aizsardzību, kura tiek turēta aizdomās par 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par tās personas konfidencialitātes nodrošināšanu, kura ziņo par pārkāpumu, izņemot gadījumu, kad šādu ziņu izpaušanu paredz Latvijas Republikas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prasības un kārtību ziņošanai par iespējamiem un faktiskiem šā likuma un uz šā likuma pamata izdoto Latvijas Bankas noteikumu pārkāpumiem finanšu pakalpojumu jomā un saņemto ziņojumu apstrādes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26.</w:t>
      </w:r>
      <w:r w:rsidR="00000000" w:rsidRPr="00000000" w:rsidDel="00000000">
        <w:rPr>
          <w:vertAlign w:val="superscript"/>
          <w:rtl w:val="0"/>
        </w:rPr>
        <w:t xml:space="preserve">1</w:t>
      </w:r>
      <w:r w:rsidR="00000000" w:rsidRPr="00000000" w:rsidDel="00000000">
        <w:rPr>
          <w:rtl w:val="0"/>
        </w:rPr>
        <w:t xml:space="preserve"> panta desmito daļu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Bankā, lai saņemtu palīdzību strīdu finanšu pakalpojumu jomā risināšanā."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Patērētāju tiesību aizsardzības centra un Latvijas Bankas palīdzība strīda risināšanā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"centrs atkarībā" ar vārdiem "centrs vai Latvijas Banka, ja strīds ir par finanšu pakalpojumu, atkarībā";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"centrs patērētāja" ar vārdiem "centrs vai Latvijas Banka, ja strīds ir par finanšu pakalpojumu, patērētāja".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13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un otro daļu pēc vārda "centrs" ar vārdiem "un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"centrs ir tiesīgs" ar vārdiem "centrs un Latvijas Banka ir tiesīgi" un vārdus "centra amatpersonām" ar vārdiem "centra un Latvijas Bankas amatpersonām".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14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"centra" ar vārdiem "vai Latvijas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"centrs" ar vārdiem "vai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"centra" ar vārdiem "centra vai Latvijas Bankas" un vārdus un skaitli "centram 24 stundu" ar vārdiem un skaitli "centram vai Latvijas Bankai, ja tā iesniegusi iesniegumu, 24 stundu".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15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ievaddaļu pēc vārda "centrs" ar vārdiem "un Latvijas Banka" un 1. un 2. punktu pēc vārda "centra" ar vārdiem "vai Latvijas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"centru" ar vārdiem "centru vai Latvijas Banku" un vārdus "centrs ir tiesīgs" ar vārdiem "centrs vai Latvijas Banka ir tiesīgi";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un ceturtās daļas ievaddaļā vārdus "centrs ir tiesīgs" ar vārdiem "centrs un Latvijas Banka ir tiesīgi";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1 </w:t>
      </w:r>
      <w:r w:rsidR="00000000" w:rsidRPr="00000000" w:rsidDel="00000000">
        <w:rPr>
          <w:rtl w:val="0"/>
        </w:rPr>
        <w:t xml:space="preserve">daļu pēc vārda "centrs" (attiecīgā locījumā) ar vārdiem "vai Latvijas Banka"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vārda "centrs" ar vārdiem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"centrs ir tiesīgs" ar vārdiem "centrs un Latvijas Banka ir tiesīgi";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vārdus "centrs lēmumā ir tiesīgs" ar vārdiem "centrs un Latvijas Banka lēmumā ir tiesīgi" un vārdu "centru" ar vārdiem "centru un Latvijas Banku".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16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"centra" ar vārdiem "vai Latvijas Bankas";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"centrs apstiprina" ar vārdiem "centrs vai Latvijas Banka apstiprina" un vārdus "centrs apliecinājumu" ar vārdiem "centrs un Latvijas Banka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"centrs" ar vārdiem "un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vārda "centru" ar vārdiem "vai Latvijas Banku".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17</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"centram" ar vārdiem "vai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"centra" ar vārdiem "Latvijas Bankas".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26.</w:t>
      </w:r>
      <w:r w:rsidR="00000000" w:rsidRPr="00000000" w:rsidDel="00000000">
        <w:rPr>
          <w:vertAlign w:val="superscript"/>
          <w:rtl w:val="0"/>
        </w:rPr>
        <w:t xml:space="preserve">18</w:t>
      </w:r>
      <w:r w:rsidR="00000000" w:rsidRPr="00000000" w:rsidDel="00000000">
        <w:rPr>
          <w:rtl w:val="0"/>
        </w:rPr>
        <w:t xml:space="preserve"> pantu pēc vārda "centra" ar vārdiem "Latvijas Bankas".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21</w:t>
      </w:r>
      <w:r w:rsidR="00000000" w:rsidRPr="00000000" w:rsidDel="00000000">
        <w:rPr>
          <w:rtl w:val="0"/>
        </w:rPr>
        <w:t xml:space="preserve"> panta pirmās daļas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"Kvalificētā institūcija informāciju par publicēto aicinājumu paziņo Patērētāju tiesību aizsardzības centram vai Latvijas Bankai, ja prasība saistīta ar pārkāpumiem finanšu pakalpojumu jomā, un attiecīgais informācijas saņēmējs to ievieto savā tīmekļvietnē un sociālajos tīklos."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27</w:t>
      </w:r>
      <w:r w:rsidR="00000000" w:rsidRPr="00000000" w:rsidDel="00000000">
        <w:rPr>
          <w:rtl w:val="0"/>
        </w:rPr>
        <w:t xml:space="preserve"> panta pirmās daļas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"Kvalificētā institūcija minēto informāciju paziņo Patērētāju tiesību aizsardzības centram vai Latvijas Bankai, ja prasība saistīta ar pārkāpumiem finanšu pakalpojumu jomā, un attiecīgais informācijas saņēmējs to ievieto savā tīmekļvietnē un sociālajos tīklos."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26.</w:t>
      </w:r>
      <w:r w:rsidR="00000000" w:rsidRPr="00000000" w:rsidDel="00000000">
        <w:rPr>
          <w:vertAlign w:val="superscript"/>
          <w:rtl w:val="0"/>
        </w:rPr>
        <w:t xml:space="preserve">28</w:t>
      </w:r>
      <w:r w:rsidR="00000000" w:rsidRPr="00000000" w:rsidDel="00000000">
        <w:rPr>
          <w:rtl w:val="0"/>
        </w:rPr>
        <w:t xml:space="preserve"> panta otrajā daļā vārdus "centru par" ar vārdiem "centru un Latvijas Banku, ja prasība saistīta ar pārkāpumiem finanšu pakalpojumu jomā, par".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26.</w:t>
      </w:r>
      <w:r w:rsidR="00000000" w:rsidRPr="00000000" w:rsidDel="00000000">
        <w:rPr>
          <w:vertAlign w:val="superscript"/>
          <w:rtl w:val="0"/>
        </w:rPr>
        <w:t xml:space="preserve">31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"centram" ar vārdiem "vai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"centram" ar vārdiem "un Latvijas Bankai".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VIII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Atbildība par patērētāju tiesību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Atbildība par patērētāju tiesību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to prasību neievērošanu, kuras piemērojamas patērētāja kreditēšanai pret kustamas lietas ķīlu, Latvijas Banka piemēro brīdinājumu vai soda naudu juridiskajai personai līdz 4300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normatīvajos aktos noteiktā aizlieguma noslēgt patērētāja kreditēšanas līgumu noteiktā laikā pārkāpšanu Latvijas Banka piemēro brīdinājumu vai soda naudu juridiskajai personai līdz 4300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kredīta starpnieka un kredīta starpnieka pārstāvja, kas piedāvā patērētājam kredītu, kura atmaksa nodrošināta ar nekustamā īpašuma hipotēku vai kura mērķis ir iegūt vai saglabāt tiesības uz nekustamo īpašumu, darbību bez reģistrēšanās Kredīta starpnieku un kredīta starpnieku pārstāvju reģistrā Latvijas Banka piemēro soda naudu fiziskajai personai, tostarp valdes loceklim vai pilnsabiedrības biedram, no 280 </w:t>
      </w:r>
      <w:r w:rsidR="00000000" w:rsidRPr="00000000" w:rsidDel="00000000">
        <w:rPr>
          <w:i w:val="1"/>
          <w:rtl w:val="0"/>
        </w:rPr>
        <w:t xml:space="preserve">euro</w:t>
      </w:r>
      <w:r w:rsidR="00000000" w:rsidRPr="00000000" w:rsidDel="00000000">
        <w:rPr>
          <w:rtl w:val="0"/>
        </w:rPr>
        <w:t xml:space="preserve"> līdz 800 </w:t>
      </w:r>
      <w:r w:rsidR="00000000" w:rsidRPr="00000000" w:rsidDel="00000000">
        <w:rPr>
          <w:i w:val="1"/>
          <w:rtl w:val="0"/>
        </w:rPr>
        <w:t xml:space="preserve">euro</w:t>
      </w:r>
      <w:r w:rsidR="00000000" w:rsidRPr="00000000" w:rsidDel="00000000">
        <w:rPr>
          <w:rtl w:val="0"/>
        </w:rPr>
        <w:t xml:space="preserve">, bet juridiskajai personai – no 600 </w:t>
      </w:r>
      <w:r w:rsidR="00000000" w:rsidRPr="00000000" w:rsidDel="00000000">
        <w:rPr>
          <w:i w:val="1"/>
          <w:rtl w:val="0"/>
        </w:rPr>
        <w:t xml:space="preserve">euro</w:t>
      </w:r>
      <w:r w:rsidR="00000000" w:rsidRPr="00000000" w:rsidDel="00000000">
        <w:rPr>
          <w:rtl w:val="0"/>
        </w:rPr>
        <w:t xml:space="preserve"> līdz 3000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patērētāju kreditēšanas pakalpojumu sniegšanu bez speciālās atļaujas (licences) vai par patērētāju kreditēšanas pakalpojumu sniegšanas turpināšanu pēc speciālās atļaujas (licences) atņemšanas vai anulēšanas Latvijas Banka piemēro soda naudu fiziskajai personai, tostarp valdes loceklim, no 280 </w:t>
      </w:r>
      <w:r w:rsidR="00000000" w:rsidRPr="00000000" w:rsidDel="00000000">
        <w:rPr>
          <w:i w:val="1"/>
          <w:rtl w:val="0"/>
        </w:rPr>
        <w:t xml:space="preserve">euro</w:t>
      </w:r>
      <w:r w:rsidR="00000000" w:rsidRPr="00000000" w:rsidDel="00000000">
        <w:rPr>
          <w:rtl w:val="0"/>
        </w:rPr>
        <w:t xml:space="preserve"> līdz 2000 </w:t>
      </w:r>
      <w:r w:rsidR="00000000" w:rsidRPr="00000000" w:rsidDel="00000000">
        <w:rPr>
          <w:i w:val="1"/>
          <w:rtl w:val="0"/>
        </w:rPr>
        <w:t xml:space="preserve">euro</w:t>
      </w:r>
      <w:r w:rsidR="00000000" w:rsidRPr="00000000" w:rsidDel="00000000">
        <w:rPr>
          <w:rtl w:val="0"/>
        </w:rPr>
        <w:t xml:space="preserve">, aizliedzot valdes loceklim ieņemt noteiktus amatus komercsabiedrībās vai bez tā, bet juridiskajai personai – no 2500 </w:t>
      </w:r>
      <w:r w:rsidR="00000000" w:rsidRPr="00000000" w:rsidDel="00000000">
        <w:rPr>
          <w:i w:val="1"/>
          <w:rtl w:val="0"/>
        </w:rPr>
        <w:t xml:space="preserve">euro</w:t>
      </w:r>
      <w:r w:rsidR="00000000" w:rsidRPr="00000000" w:rsidDel="00000000">
        <w:rPr>
          <w:rtl w:val="0"/>
        </w:rPr>
        <w:t xml:space="preserve"> līdz 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w:t>
      </w:r>
      <w:r w:rsidR="00000000" w:rsidRPr="00000000" w:rsidDel="00000000">
        <w:rPr>
          <w:b w:val="1"/>
          <w:vertAlign w:val="superscript"/>
          <w:rtl w:val="0"/>
        </w:rPr>
        <w:t xml:space="preserve">2</w:t>
      </w:r>
      <w:r w:rsidR="00000000" w:rsidRPr="00000000" w:rsidDel="00000000">
        <w:rPr>
          <w:b w:val="1"/>
          <w:rtl w:val="0"/>
        </w:rPr>
        <w:t xml:space="preserve"> pants. Lēmumu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lēmumu tā adresāts var pārsūdzēt Administratīvajā rajona tiesā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w:t>
      </w:r>
      <w:r w:rsidR="00000000" w:rsidRPr="00000000" w:rsidDel="00000000">
        <w:rPr>
          <w:b w:val="1"/>
          <w:vertAlign w:val="superscript"/>
          <w:rtl w:val="0"/>
        </w:rPr>
        <w:t xml:space="preserve">3</w:t>
      </w:r>
      <w:r w:rsidR="00000000" w:rsidRPr="00000000" w:rsidDel="00000000">
        <w:rPr>
          <w:b w:val="1"/>
          <w:rtl w:val="0"/>
        </w:rPr>
        <w:t xml:space="preserve"> pants.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ierosināt lietu viena gada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noilguma termiņa skaitīšanu aptur ar lietas ierosināšanas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šajā likumā noteikto sankciju Latvijas Banka pieņem viena mēneša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objektīvu iemeslu dēļ šā panta trešajā daļā noteikto termiņu nav iespējams ievērot, to var pagarināt uz laiku, kas nepārsniedz četrus mēnešus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nepieciešams veikt ekspertīzi, lietu izskata un lēmumu pieņem sešu mēnešu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Banka izbeidz lietu, ja šajā pantā noteiktajā termiņā nav pieņemts lēmums par šajā likumā noteikto sankciju piemērošanu."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IX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IX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Administratīvie pārkāpumi patērētāju tiesību aizsardzības, tirdzniecības un pakalpojumu sniegšanas jomā, izņemot finanšu pakalpojumu jomu, un kompetence administratīvo pārkāpumu procesā</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Izslēgt 37. panta otro, trešo, astoto un devīto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38.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"otrajā, trešajā, piektajā, septītajā, astotajā un devītajā" ar vārdiem "piektajā un septītajā";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"otrajā, trešajā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"otrajā, trešajā";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pārejas noteikumus ar 46., 47., 48., 49., 50., 51., 52., 53., 54., 55., 56., 57. un 58.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8. panta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daļa, 8.</w:t>
      </w:r>
      <w:r w:rsidR="00000000" w:rsidRPr="00000000" w:rsidDel="00000000">
        <w:rPr>
          <w:vertAlign w:val="superscript"/>
          <w:rtl w:val="0"/>
        </w:rPr>
        <w:t xml:space="preserve">2</w:t>
      </w:r>
      <w:r w:rsidR="00000000" w:rsidRPr="00000000" w:rsidDel="00000000">
        <w:rPr>
          <w:rtl w:val="0"/>
        </w:rPr>
        <w:t xml:space="preserve"> panta ceturtā un piektā daļa, 24. panta trešā daļa, 25.</w:t>
      </w:r>
      <w:r w:rsidR="00000000" w:rsidRPr="00000000" w:rsidDel="00000000">
        <w:rPr>
          <w:vertAlign w:val="superscript"/>
          <w:rtl w:val="0"/>
        </w:rPr>
        <w:t xml:space="preserve">3 </w:t>
      </w:r>
      <w:r w:rsidR="00000000" w:rsidRPr="00000000" w:rsidDel="00000000">
        <w:rPr>
          <w:rtl w:val="0"/>
        </w:rPr>
        <w:t xml:space="preserve">pants, 26.</w:t>
      </w:r>
      <w:r w:rsidR="00000000" w:rsidRPr="00000000" w:rsidDel="00000000">
        <w:rPr>
          <w:vertAlign w:val="superscript"/>
          <w:rtl w:val="0"/>
        </w:rPr>
        <w:t xml:space="preserve">1</w:t>
      </w:r>
      <w:r w:rsidR="00000000" w:rsidRPr="00000000" w:rsidDel="00000000">
        <w:rPr>
          <w:rtl w:val="0"/>
        </w:rPr>
        <w:t xml:space="preserve"> panta desmitās daļas 5. punkts un VIII</w:t>
      </w:r>
      <w:r w:rsidR="00000000" w:rsidRPr="00000000" w:rsidDel="00000000">
        <w:rPr>
          <w:vertAlign w:val="superscript"/>
          <w:rtl w:val="0"/>
        </w:rPr>
        <w:t xml:space="preserve">1</w:t>
      </w:r>
      <w:r w:rsidR="00000000" w:rsidRPr="00000000" w:rsidDel="00000000">
        <w:rPr>
          <w:rtl w:val="0"/>
        </w:rPr>
        <w:t xml:space="preserve"> nodaļa, kā arī grozījumi šā likuma 8.</w:t>
      </w:r>
      <w:r w:rsidR="00000000" w:rsidRPr="00000000" w:rsidDel="00000000">
        <w:rPr>
          <w:vertAlign w:val="superscript"/>
          <w:rtl w:val="0"/>
        </w:rPr>
        <w:t xml:space="preserve">2</w:t>
      </w:r>
      <w:r w:rsidR="00000000" w:rsidRPr="00000000" w:rsidDel="00000000">
        <w:rPr>
          <w:rtl w:val="0"/>
        </w:rPr>
        <w:t xml:space="preserve"> panta otrajā daļā, 24. panta otrajā daļā, 25. panta ceturtajā daļā, 26.</w:t>
      </w:r>
      <w:r w:rsidR="00000000" w:rsidRPr="00000000" w:rsidDel="00000000">
        <w:rPr>
          <w:vertAlign w:val="superscript"/>
          <w:rtl w:val="0"/>
        </w:rPr>
        <w:t xml:space="preserve">2</w:t>
      </w:r>
      <w:r w:rsidR="00000000" w:rsidRPr="00000000" w:rsidDel="00000000">
        <w:rPr>
          <w:rtl w:val="0"/>
        </w:rPr>
        <w:t xml:space="preserve">, 26.</w:t>
      </w:r>
      <w:r w:rsidR="00000000" w:rsidRPr="00000000" w:rsidDel="00000000">
        <w:rPr>
          <w:vertAlign w:val="superscript"/>
          <w:rtl w:val="0"/>
        </w:rPr>
        <w:t xml:space="preserve">13</w:t>
      </w:r>
      <w:r w:rsidR="00000000" w:rsidRPr="00000000" w:rsidDel="00000000">
        <w:rPr>
          <w:rtl w:val="0"/>
        </w:rPr>
        <w:t xml:space="preserve">, 26.</w:t>
      </w:r>
      <w:r w:rsidR="00000000" w:rsidRPr="00000000" w:rsidDel="00000000">
        <w:rPr>
          <w:vertAlign w:val="superscript"/>
          <w:rtl w:val="0"/>
        </w:rPr>
        <w:t xml:space="preserve">14</w:t>
      </w:r>
      <w:r w:rsidR="00000000" w:rsidRPr="00000000" w:rsidDel="00000000">
        <w:rPr>
          <w:rtl w:val="0"/>
        </w:rPr>
        <w:t xml:space="preserve">, 26.</w:t>
      </w:r>
      <w:r w:rsidR="00000000" w:rsidRPr="00000000" w:rsidDel="00000000">
        <w:rPr>
          <w:vertAlign w:val="superscript"/>
          <w:rtl w:val="0"/>
        </w:rPr>
        <w:t xml:space="preserve">15</w:t>
      </w:r>
      <w:r w:rsidR="00000000" w:rsidRPr="00000000" w:rsidDel="00000000">
        <w:rPr>
          <w:rtl w:val="0"/>
        </w:rPr>
        <w:t xml:space="preserve">, 26.</w:t>
      </w:r>
      <w:r w:rsidR="00000000" w:rsidRPr="00000000" w:rsidDel="00000000">
        <w:rPr>
          <w:vertAlign w:val="superscript"/>
          <w:rtl w:val="0"/>
        </w:rPr>
        <w:t xml:space="preserve">16</w:t>
      </w:r>
      <w:r w:rsidR="00000000" w:rsidRPr="00000000" w:rsidDel="00000000">
        <w:rPr>
          <w:rtl w:val="0"/>
        </w:rPr>
        <w:t xml:space="preserve">, 26.</w:t>
      </w:r>
      <w:r w:rsidR="00000000" w:rsidRPr="00000000" w:rsidDel="00000000">
        <w:rPr>
          <w:vertAlign w:val="superscript"/>
          <w:rtl w:val="0"/>
        </w:rPr>
        <w:t xml:space="preserve">17</w:t>
      </w:r>
      <w:r w:rsidR="00000000" w:rsidRPr="00000000" w:rsidDel="00000000">
        <w:rPr>
          <w:rtl w:val="0"/>
        </w:rPr>
        <w:t xml:space="preserve">, 26.</w:t>
      </w:r>
      <w:r w:rsidR="00000000" w:rsidRPr="00000000" w:rsidDel="00000000">
        <w:rPr>
          <w:vertAlign w:val="superscript"/>
          <w:rtl w:val="0"/>
        </w:rPr>
        <w:t xml:space="preserve">18</w:t>
      </w:r>
      <w:r w:rsidR="00000000" w:rsidRPr="00000000" w:rsidDel="00000000">
        <w:rPr>
          <w:rtl w:val="0"/>
        </w:rPr>
        <w:t xml:space="preserve">, 26.</w:t>
      </w:r>
      <w:r w:rsidR="00000000" w:rsidRPr="00000000" w:rsidDel="00000000">
        <w:rPr>
          <w:vertAlign w:val="superscript"/>
          <w:rtl w:val="0"/>
        </w:rPr>
        <w:t xml:space="preserve">21</w:t>
      </w:r>
      <w:r w:rsidR="00000000" w:rsidRPr="00000000" w:rsidDel="00000000">
        <w:rPr>
          <w:rtl w:val="0"/>
        </w:rPr>
        <w:t xml:space="preserve">, 26.</w:t>
      </w:r>
      <w:r w:rsidR="00000000" w:rsidRPr="00000000" w:rsidDel="00000000">
        <w:rPr>
          <w:vertAlign w:val="superscript"/>
          <w:rtl w:val="0"/>
        </w:rPr>
        <w:t xml:space="preserve">27</w:t>
      </w:r>
      <w:r w:rsidR="00000000" w:rsidRPr="00000000" w:rsidDel="00000000">
        <w:rPr>
          <w:rtl w:val="0"/>
        </w:rPr>
        <w:t xml:space="preserve">, 26.</w:t>
      </w:r>
      <w:r w:rsidR="00000000" w:rsidRPr="00000000" w:rsidDel="00000000">
        <w:rPr>
          <w:vertAlign w:val="superscript"/>
          <w:rtl w:val="0"/>
        </w:rPr>
        <w:t xml:space="preserve">28</w:t>
      </w:r>
      <w:r w:rsidR="00000000" w:rsidRPr="00000000" w:rsidDel="00000000">
        <w:rPr>
          <w:rtl w:val="0"/>
        </w:rPr>
        <w:t xml:space="preserve"> un 26.</w:t>
      </w:r>
      <w:r w:rsidR="00000000" w:rsidRPr="00000000" w:rsidDel="00000000">
        <w:rPr>
          <w:vertAlign w:val="superscript"/>
          <w:rtl w:val="0"/>
        </w:rPr>
        <w:t xml:space="preserve">31</w:t>
      </w:r>
      <w:r w:rsidR="00000000" w:rsidRPr="00000000" w:rsidDel="00000000">
        <w:rPr>
          <w:rtl w:val="0"/>
        </w:rPr>
        <w:t xml:space="preserve"> pantā saistībā ar finanšu pakalpojumu jomas uzraudzības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Grozījumi šā likuma IX nodaļas nosaukumā, 37. pantā attiecībā uz otrās, trešās, astotās un devītās daļas izslēgšanu un 38. panta pirmajā, trešajā, ceturtajā un sestajā daļā saistībā ar iestāžu kompetenci administratīvā pārkāpuma procesa īstenošanā stājas spēkā 2027.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9. panta 2.</w:t>
      </w:r>
      <w:r w:rsidR="00000000" w:rsidRPr="00000000" w:rsidDel="00000000">
        <w:rPr>
          <w:vertAlign w:val="superscript"/>
          <w:rtl w:val="0"/>
        </w:rPr>
        <w:t xml:space="preserve">1</w:t>
      </w:r>
      <w:r w:rsidR="00000000" w:rsidRPr="00000000" w:rsidDel="00000000">
        <w:rPr>
          <w:rtl w:val="0"/>
        </w:rPr>
        <w:t xml:space="preserve"> daļa, 10. panta trešā daļa un 17. panta 3.</w:t>
      </w:r>
      <w:r w:rsidR="00000000" w:rsidRPr="00000000" w:rsidDel="00000000">
        <w:rPr>
          <w:vertAlign w:val="superscript"/>
          <w:rtl w:val="0"/>
        </w:rPr>
        <w:t xml:space="preserve">1</w:t>
      </w:r>
      <w:r w:rsidR="00000000" w:rsidRPr="00000000" w:rsidDel="00000000">
        <w:rPr>
          <w:rtl w:val="0"/>
        </w:rPr>
        <w:t xml:space="preserve"> daļa un grozījumi šā likuma 8. panta 1.</w:t>
      </w:r>
      <w:r w:rsidR="00000000" w:rsidRPr="00000000" w:rsidDel="00000000">
        <w:rPr>
          <w:vertAlign w:val="superscript"/>
          <w:rtl w:val="0"/>
        </w:rPr>
        <w:t xml:space="preserve">3</w:t>
      </w:r>
      <w:r w:rsidR="00000000" w:rsidRPr="00000000" w:rsidDel="00000000">
        <w:rPr>
          <w:rtl w:val="0"/>
        </w:rPr>
        <w:t xml:space="preserve"> un ceturtajā daļā un 8.</w:t>
      </w:r>
      <w:r w:rsidR="00000000" w:rsidRPr="00000000" w:rsidDel="00000000">
        <w:rPr>
          <w:vertAlign w:val="superscript"/>
          <w:rtl w:val="0"/>
        </w:rPr>
        <w:t xml:space="preserve">2</w:t>
      </w:r>
      <w:r w:rsidR="00000000" w:rsidRPr="00000000" w:rsidDel="00000000">
        <w:rPr>
          <w:rtl w:val="0"/>
        </w:rPr>
        <w:t xml:space="preserve"> panta trešajā daļā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Līdz 2028. gada 1. janvārim, kad Ministru kabineta 2011. gada 29. marta noteikumi Nr. 245 "Noteikumi par speciālo atļauju (licenci) patērētāju kreditēšanas pakalpojumu sniegšanai" un Ministru kabineta 2016. gada 13. decembra noteikumi Nr. 772 "Kredīta starpnieku un kredīta starpnieku pārstāvju reģistrācijas noteikumi"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šajos noteikumos lietoto nosaukumu "Patērētāju tiesību aizsardzības centrs" saprot nosaukumu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nepiemēro minēto noteikumu regulējumu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Līdz grozījumu izdarīšanai Ministru kabineta 1999. gada 18. maija noteikumos Nr. 178 "Kārtība, kādā norādāmas preču un pakalpojumu cenas" šo noteikumu ievērošanu attiecībā uz finanšu pakalpojumu jomu kontrolē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Patērētāju tiesību aizsardzības centra līdz 2026. gada 31. decembrim izsniegtās speciālās atļaujas (licences) patērētāju kreditēšanas pakalpojumu sniegšanai, kā arī kredīta starpnieku un to pārstāvju reģistrācija paliek spēkā arī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kreditēšanas pakalpojumu sniedzēji, kredīta starpnieki un kredīta starpnieka pārstāvji, kuriem saskaņā ar šo likumu ir pienākums maksāt valsts nodevu par to darbības uzraudzību, nemaksā valsts nodevu par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uzsāktos un nepabeigtos administratīvos procesus, tai skaitā lietās par kreditēšanas pakalpojuma sniedzēju licencēšanu, kredīta starpnieku un to pārstāvju reģistrēšanu, kā arī administratīvā pārkāpuma procesus par patērētāju tiesību pārkāpumiem finanšu pakalpojumu jomā Patērētāju tiesību aizsardzības centrs pabeidz, piemērojot tās tiesību normas, kas bija spēkā attiecīgā procesa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Patērētāju tiesību aizsardzības centrs līdz 2026. gada 31. decembrim nodod Latvijas Bankai dokumentus, informāciju, datubāzes un reģistrus, kas saistīti ar patērētāju kreditēšanas pakalpojumu sniedzēju, kredīta starpnieku un to pārstāvju uzraudzību, izņemot to informāciju un dokumentus, kas nepieciešami iesākto procesu pabeigšanai. Informāciju un dokumentus, kas nepieciešami iesākto procesu pabeigšanai, nodod pēc šo procesu pabeigšanas. Latvijas Banka triju dienu laikā pēc tam, kad no Patērētāju tiesību aizsardzības centra saņemta informācija par reģistrācijas procesa pabeigšanu, veic attiecīgas izmaiņas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Tiesvedībās finanšu pakalpojumu jomā, kas uzsāktas līdz 2027. gada 1. janvārim un nav pabeigtas līdz dienai, kad stājas spēkā šā likuma grozījumi attiecībā uz finanšu pakalpojumu jomas uzraudzības nodošanu Latvijas Bankai, Patērētāju tiesību aizsardzības centrs saglabā atbildētāja statusu līdz dienai, kad stājas spēkā galīgais tiesas nolēmums.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Latvijas Banka, pārņemot patērētāju tiesību aizsardzības uzraudzības funkciju finanšu pakalpojumu jomā, neuzņemas atbildību par tiešiem vai netiešiem zaudējumiem, kas izriet no prasījumiem attiecībā uz Patērētāju tiesību aizsardzības centra pieņemtajiem lēmumiem vai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2027., 2028. un 2029. gadā šā likuma 8. panta 1.</w:t>
      </w:r>
      <w:r w:rsidR="00000000" w:rsidRPr="00000000" w:rsidDel="00000000">
        <w:rPr>
          <w:vertAlign w:val="superscript"/>
          <w:rtl w:val="0"/>
        </w:rPr>
        <w:t xml:space="preserve">6</w:t>
      </w:r>
      <w:r w:rsidR="00000000" w:rsidRPr="00000000" w:rsidDel="00000000">
        <w:rPr>
          <w:rtl w:val="0"/>
        </w:rPr>
        <w:t xml:space="preserve"> daļā minētajai kapitālsabiedrībai, kas saņēmusi speciālo atļauju (licenci), noteiktā kopējā maksa Latvijas Bankai nepārsniedz 55 000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Ministru kabineta 2016. gada 25. oktobra noteikumi Nr. 691 "Noteikumi par patērētāja kreditēšanu" un Ministru kabineta 2014. gada 21. oktobra noteikumi Nr. 648 "Noteikumi par distances līgumu par finanšu pakalpojumu sniegšanu" ir spēkā līdz 2027. gada 31. decembrim. Ar šajos noteikumos lietoto nosaukumu "Patērētāju tiesību aizsardzības centrs" saprot nosaukumu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26-TA-744</w:t>
    </w:r>
    <w:r>
      <w:br/>
    </w:r>
    <w:r w:rsidR="00000000" w:rsidRPr="00000000" w:rsidDel="00000000">
      <w:rPr>
        <w:rtl w:val="0"/>
      </w:rPr>
      <w:t xml:space="preserve">Izdrukāts 29.07.2026. 21.23 - 1.0.VK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26-TA-744</w:t>
    </w:r>
    <w:r>
      <w:br/>
    </w:r>
    <w:r w:rsidR="00000000" w:rsidRPr="00000000" w:rsidDel="00000000">
      <w:rPr>
        <w:rtl w:val="0"/>
      </w:rPr>
      <w:t xml:space="preserve">Izdrukāts 29.07.2026. 21.23 - 1.0.VK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likumprojekts_(grozījumi)_26-TA-744.docx</dc:title>
</cp:coreProperties>
</file>

<file path=docProps/custom.xml><?xml version="1.0" encoding="utf-8"?>
<Properties xmlns="http://schemas.openxmlformats.org/officeDocument/2006/custom-properties" xmlns:vt="http://schemas.openxmlformats.org/officeDocument/2006/docPropsVTypes"/>
</file>