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novembrī (prot. Nr. 56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 (Latvijas Vēstnesis, 2018, 16. nr.; 2019, 187. nr.; 2020, 94., 229. nr.; 2022, 91.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Šo noteikumu 23. punktā minētais ierobežojums par viena projekta iesnieguma iesniegšanu neattiecas uz gadījumiem, kad projekta īstenošanas laikā strukturālo reformu īstenošanas rezultātā projekta iesniedzējam saskaņā ar Ministru kabineta rīkojumu par reorganizāciju ir pienākums īstenot vairākus projektus."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22-TA-2888</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22-TA-2888</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noteikumu_(grozījumu)_projekts_22-TA-2888.docx</dc:title>
</cp:coreProperties>
</file>

<file path=docProps/custom.xml><?xml version="1.0" encoding="utf-8"?>
<Properties xmlns="http://schemas.openxmlformats.org/officeDocument/2006/custom-properties" xmlns:vt="http://schemas.openxmlformats.org/officeDocument/2006/docPropsVTypes"/>
</file>