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656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14. novembrī (prot. Nr. 57 42.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pasākumu "Infrastruktūras un mācību vides pilnveide efektīvas, kvalitatīvas un mūsdienīgas izglītības īstenošanai speciālās izglītības iestādēs"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Eiropas Reģionālās attīstības fonda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Savienības fonda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speciālās izglītības iestāžu tīkla sakārtošana un mācību vides un infrastruktūras, materiāltehniskā nodrošinājuma un mācību līdzekļu pilnveidošana, lai paaugstinātu speciālās izglītības iestāžu kapacitāti kvalitatīvas speciālās izglītības nodrošināšanā.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pašvaldību dibinātas speciālās izglītības iestādes, to pedagogi un izglītojamie.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ir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jaunu vai modernizētu izglītības iestāžu klašu telpu ietilpība – 3864 personas, tai skaitā līdz 2024. gada 31. decembrim – 386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rādītājs – speciālās izglītības iestādes, kurās modernizēta mācību vide, – 30.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Pasākumam plānotais un pieejamais kopējais finansējums ir 17 400 000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14 790 000 </w:t>
      </w:r>
      <w:r w:rsidR="00000000" w:rsidRPr="00000000" w:rsidDel="00000000">
        <w:rPr>
          <w:i w:val="1"/>
          <w:rtl w:val="0"/>
        </w:rPr>
        <w:t xml:space="preserve">euro</w:t>
      </w:r>
      <w:r w:rsidR="00000000" w:rsidRPr="00000000" w:rsidDel="00000000">
        <w:rPr>
          <w:rtl w:val="0"/>
        </w:rPr>
        <w:t xml:space="preserve"> un pašvaldību līdzfinansējums 2 610 000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Reģionālās attīstības fonda finansējums projektā nepārsniedz 85 procentus no projekta kopējām attiecināmajām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Pašvaldības līdzfinansējums ir ne mazāks kā 15 procenti no projekta kopējām attiecināmajām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Eiropas Reģionālās attīstības fonda finansējumu pasākuma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pašvaldība, kuras administratīvajā teritorijā darbojas vismaz viena speciālās izglītības iestāde, kas pēc projekta iesnieguma apstiprināšanas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iesniedz projekta iesniegumu un papildus iesniedzamos dokumentus saskaņā ar sadarbības iestādes projektu iesniegumu atlases nolikumu.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Uzsākot dalību projekta iesniegumu atlasē, pašvaldība veic speciālās izglītības iestāžu tīkla sakārtošanu (ja attiecināms), nodrošinot, ka tās administratīvajā teritorijā pēc 2025. gada 31. augusta darbojas ne vairāk kā viena speciālās izglītības iestāde (izņemot Rīgas valstspilsētu), kas licencētas speciālās izglītības programmas īsteno vienuviet. Prioritāri atbalsts paredzēts speciālās izglītības attīstības centriem.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tiek atbalstīti projekti, kas paredzēti pašvaldību domju apstiprinātajos attīstības programmu investīciju plānos.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minētajām pašvaldībām maksimāli plānotais Eiropas Reģionālās attīstības fonda finansējums ir šāds: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Aizkraukles novada pašvaldība – 440 674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Augšdaugavas novada pašvaldība – 314 969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Bauskas novada pašvaldība – 386 468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Cēsu novada pašvaldība – 340 204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Daugavpils valstspilsēta – 932 759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Dienvidkurzemes novada pašvaldība – 272 910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Dobeles novada pašvaldība – 281 322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Gulbenes novada pašvaldība – 378 057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Jelgavas novada pašvaldība – 323 380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Jelgavas valstspilsēta – 777 142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Jēkabpils novada pašvaldība – 323 380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Jūrmalas valstspilsēta – 361 233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Krāslavas novada pašvaldība – 306 557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Kuldīgas novada pašvaldība – 571 056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Liepājas valstspilsēta – 974 817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Limbažu novada pašvaldība – 289 734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Līvānu novada pašvaldība – 197 205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Ogres novada pašvaldība – 264 498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Madonas novada pašvaldība – 235 058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Rēzeknes novada pašvaldība – 584 143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Rēzeknes valstspilsēta – 714 055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Rīgas valstspilsēta – 2 516 485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Ropažu novada pašvaldība – 407 498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Saldus novada pašvaldība – 457 968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Smiltenes novada pašvaldība – 327 586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Talsu novada pašvaldība – 192 999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Tukuma novada pašvaldība – 739 760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Valmieras novada pašvaldība – 878 083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minimālais kopējo attiecināmo izmaksu apmērs nav mazāks par 200 000 </w:t>
      </w:r>
      <w:r w:rsidR="00000000" w:rsidRPr="00000000" w:rsidDel="00000000">
        <w:rPr>
          <w:i w:val="1"/>
          <w:rtl w:val="0"/>
        </w:rPr>
        <w:t xml:space="preserve">euro</w:t>
      </w:r>
      <w:r w:rsidR="00000000" w:rsidRPr="00000000" w:rsidDel="00000000">
        <w:rPr>
          <w:rtl w:val="0"/>
        </w:rPr>
        <w:t xml:space="preserve"> (ieskaitot).</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Projektā iekļauj šādas atbalstāmās darbības, kas sekmē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rādītāju sasniegšanu un ietver investīcijas speciālās izglītības iestāžu infrastruktūras attīstībai speciālās izglītības programmu apguvei: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speciālās izglītības iestādes infrastruktūras un mācību vides uzlabošana, tai skaitā piekļūstamības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speciālās izglītības programmu apguvei nepieciešamā aprīkojuma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komunikācijas tehnoloģiju risinājumu ieviešana;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speciālās izglītības iestādes internāta infrastruktūras uzlabošana un aprīkošana;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speciālās izglītības iestādes ēkai piegulošās teritorijas, tai skaitā sporta aktivitāšu zonas, labiekārtošana;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komunikācijas un vizuālās identitātes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attiecināmās izmaksas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būvdarbu ieceres dokumentācijas, būvprojekta minimālā sastāvā, paskaidrojuma raksta izstrāde vai aktualizācija;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energosertifikācijas, ekspertīzes un izpētes izmaksas, ja to veikšana ir priekšnosacījums, lai izstrādātu būvprojektu, būvdarbu ieceres dokumentāciju vai būvprojektu minimālā sastāvā;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īstenošanas izmaksas, tai skaitā vides, informācijas un komunikācijas tehnoloģiju un to risinājumu piekļūstamības ekspertu konsultācijas, zīmju valodas tulku, vieglās valodas tulkošanas, reāllaika transkripcijas, subtitru nodrošināšanas pakalpojumu izmaksas, ja tās ir nepieciešamas vides un informācijas piekļūstamības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speciālās izglītības iestādes ēkas pārbūves vai atjaunošanas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telpu (klašu, kabinetu, auditoriju, laboratoriju) pārbūves vai atjaunošanas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gaiteņu un sanitāro mezglu pārbūves un atjaunošanas izmaksas, ja tiek īstenoti 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minētie darbi;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būvprojektā paredzētu iekārtu vai aprīkojuma iegāde un uzstādīšana, kas nepieciešams būves vai tās daļas pieņemšanai ekspluatācijā vai ēkas funkcionalitātes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iekšējo inženiertīklu (iekšējo elektrotīklu, apkures sistēmu, vēdināšanas un gaisa kondicionēšanas sistēmu, ūdensvada tīklu, kanalizācijas tīklu, automātisko ugunsgrēka atklāšanas, trauksmes signalizācijas un automātiskās balss ugunsgrēka izziņošanas sistēmu) izbūves vai pārbūves izmaksas. Minētās izmaksas plāno kā papildizmaksas šo noteikumu </w:t>
      </w:r>
      <w:r w:rsidR="00000000" w:rsidRPr="00000000" w:rsidDel="00000000">
        <w:rPr>
          <w:rtl w:val="0"/>
        </w:rPr>
        <w:t xml:space="preserve">18.2.1.</w:t>
      </w:r>
      <w:r w:rsidR="00000000" w:rsidRPr="00000000" w:rsidDel="00000000">
        <w:rPr>
          <w:rtl w:val="0"/>
        </w:rPr>
        <w:t xml:space="preserve"> un </w:t>
      </w:r>
      <w:r w:rsidR="00000000" w:rsidRPr="00000000" w:rsidDel="00000000">
        <w:rPr>
          <w:rtl w:val="0"/>
        </w:rPr>
        <w:t xml:space="preserve">18.2.2. </w:t>
      </w:r>
      <w:r w:rsidR="00000000" w:rsidRPr="00000000" w:rsidDel="00000000">
        <w:rPr>
          <w:rtl w:val="0"/>
        </w:rPr>
        <w:t xml:space="preserve">apakšpunktā</w:t>
      </w:r>
      <w:r w:rsidR="00000000" w:rsidRPr="00000000" w:rsidDel="00000000">
        <w:rPr>
          <w:rtl w:val="0"/>
        </w:rPr>
        <w:t xml:space="preserve"> minētajām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ergonomiskas mācību vides izveides izmaksas, tai skaitā mācību telpas aprīkojuma un mēbeļu iegādes, apgaismojuma modernizēšanas un trokšņu slāpētāju izveides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inovatīvu informācijas un komunikācijas tehnoloģiju risinājumu ieviešanas izmaksas, tai skaitā bezvadu interneta vai interneta pieslēguma izveides izmaksas, mācību procesa nodrošināšanai nepieciešamā aprīkojuma un programmatūras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speciālās izglītības iestādes internāta pārbūves vai atjaunošanas izmaksas un tā darbības (dzīvojamo un mācību telpu, virtuves, sanitāro mezglu, dušas telpu) nodrošināšanai nepieciešamā aprīkojuma iegādes izmaksas, tai skaitā mēbeļu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teritorijas labiekārtošanas, tai skaitā labiekārtojuma elementu iegāde un uzstādīšana (piemēram, soliņi, celiņi, apgaismojums, žogi, terases, nojumes), rotaļlaukuma, sporta laukuma būvniecības, pārbūves vai atjaunošanas izmaksas, kas nepārsniedz 20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būvuzraudzības un autoruzraudzības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kas saistītas ar ēkas nodošanu ekspluatācijā, ja tās nav paredzētas līgumā par būvdarbu veikšanu;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pasākumu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neparedzētie izdevumi, kas nepārsniedz piecus procentus no projekta kopējām attiecināmajām izmaksām. Neparedzētos izdevumus pirms to veikšanas finansējuma saņēmējs saskaņo ar sadarbības 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18.7.</w:t>
      </w:r>
      <w:r w:rsidR="00000000" w:rsidRPr="00000000" w:rsidDel="00000000">
        <w:rPr>
          <w:rtl w:val="0"/>
        </w:rPr>
        <w:t xml:space="preserve"> un </w:t>
      </w:r>
      <w:r w:rsidR="00000000" w:rsidRPr="00000000" w:rsidDel="00000000">
        <w:rPr>
          <w:rtl w:val="0"/>
        </w:rPr>
        <w:t xml:space="preserve">18.8. </w:t>
      </w:r>
      <w:r w:rsidR="00000000" w:rsidRPr="00000000" w:rsidDel="00000000">
        <w:rPr>
          <w:rtl w:val="0"/>
        </w:rPr>
        <w:t xml:space="preserve">apakšpunktā</w:t>
      </w:r>
      <w:r w:rsidR="00000000" w:rsidRPr="00000000" w:rsidDel="00000000">
        <w:rPr>
          <w:rtl w:val="0"/>
        </w:rPr>
        <w:t xml:space="preserve">  minētās izmaksas, finansējuma saņēmējs nodrošina, ka tās kopsummā nepārsniedz 10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uzskatāmi par attiecināmajām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Izmaksas ir attiecināmas, ja tās atbilst šajos noteikumos minētajām izmaksu pozīcijām un ir radušās ar šo noteikumu spēkā stāšanās dienu, izņemot projektu pamatojošās dokumentācijas sagatavošanas izmaksas, kas ir attiecināmas, ja tās veiktas pēc 2021. gada 1. janvāra.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minētās izmaksas ir attiecināmas, ja tās tiek veiktas ar saimniecisko darbību nesaistītā infrastruktūrā.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izpilda nepieciešamās prasības un nodrošina, ka projekta īstenošanā ievērots horizontālais princips "Nenodarīt būtisku kaitējumu" un tas atbilst Eiropas Savienības kohēzijas politikas programmā 2021.–2027. gadam noteiktajiem Eiropas Savienības un nacionālajiem normatīvajiem aktiem vides jomā.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projekta ietekmi uz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minētajiem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projekta īstenošanas laikā uzkrāj datus par projekta ietekmi uz tā rādītājiem, tai 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skaits, kuros ar Eiropas Reģionālās attīstības fonda ieguldījumiem ir nodrošināta vides un informācijas piekļūstamība;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veikto vides un informācijas piekļūstamības pašnovērtējumu skaits atbilstoši Labklājības ministrijas izstrādātajai metodikai;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konsultatīva rakstura pasākumu skaits par projekta ietvaros būvētās vides, informācijas tehnoloģiju risinājumu un informācijas tehnoloģiju piekļūstamību personām ar dažādiem funkcionāliem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šādus horizontālos principus un uzkrāj datus par projekta ietekmi uz tiem (ja attiecināms):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26.2. </w:t>
      </w:r>
      <w:r w:rsidR="00000000" w:rsidRPr="00000000" w:rsidDel="00000000">
        <w:rPr>
          <w:rtl w:val="0"/>
        </w:rPr>
        <w:t xml:space="preserve">apakšpunktā</w:t>
      </w:r>
      <w:r w:rsidR="00000000" w:rsidRPr="00000000" w:rsidDel="00000000">
        <w:rPr>
          <w:rtl w:val="0"/>
        </w:rPr>
        <w:t xml:space="preserve"> minētajiem horizontālo principu rādītājiem vienlaikus ar informāciju par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minētā iznākuma rādītāja vērtības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trīs gadus pēc projekta īstenošanas informē sadarbības iestādi par būves ikgadējo enerģijas patēriņu (megavatstundas);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2021/1060 47. pantu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interešu konflikta, krāpšanas un korupcijas risku neesību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projekta rezultātu ilgtspēju vismaz piecus gadus pēc noslēguma maksājuma saņemšanas.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nodrošina, lai projektā paredzētās atbalstāmās darbības un attiecināmās izmaksas nepārklātos ar citiem valsts vai ārvalstu finanšu atbalsta instrumentiem, nodrošinot dubultā finansējuma neiestāšanos.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ne retāk kā reizi sešos mēnešos savā tīmekļvietnē ievieto aktuālo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Sadarbības iestāde, ja tai ir pieejami valsts budžeta līdzekļi, pamatojoties uz finansējuma saņēmēja rakstisku avansa pieprasījumu un izvērtējot plānotā avansa apmēru, tā pamatojumu un spēju to izlietot sešu mēnešu laikā saimnieciskā gada ietvaros, var piešķirt finansējuma saņēmējam avansu, ievērojot, ka avansa un starpposma maksājumu kopsumma nepārsniedz 90 procentus no projektam piešķirtā Eiropas Reģionālās attīstības fonda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ieguldījumus var veikt finansējuma saņēmēja īpašumā esošajā infrastruktūrā.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iestāde projekta īstenošanas laikā un projekta dzīves cikla laikā (10 gadi) atbilstoši atbildīgās iestādes izstrādātajai papildinošas saimnieciskās darbības uzraudzības metodikai nodrošina papildinošas saimnieciskās darbības uzraudzību projektā uzlabotajai infrastruktūrai.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Lai atbalsts projekta īstenošanai netiktu kvalificēts kā komercdarbības atbalsts, projekta īstenošanas rezultātā attīstītajā infrastruktūrā projekta dzīves cikla laikā ir pieļaujams veikt papildinošu saimniecisko darbību 20 procentu apmērā no infrastruktūras gada jaudas platības, laika vai finanšu izteiksmē un ir pieļaujama parasto papildpakalpojumu sniegšana. Ar papildinošu saimniecisko darbību saprot darbības, kas ir tieši saistītas ar infrastruktūras ekspluatāciju un ir tai nepieciešamas vai nesaraujami saistītas ar tās galveno ar saimniecisko darbību nesaistīto izmantojumu, patērējot tādu pašu resursu (piemēram, materiāli, aprīkojums, darbaspēks, pamatkapitāls) apjomu kā ar saimniecisko darbību nesaistītajām darbībām. Par parastajiem papildpakalpojumiem uzskata ēdināšanas pakalpojumu sniegšanu izglītojamiem un pašvaldības speciālās izglītības iestādē nodarbinātajiem.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sadarbības iestāde konstatē, ka ir pārkāptas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minētās komercdarbības atbalsta kontroles normas, finansējuma saņēmējam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projekta īstenošanai nepieciešamo būvdarbu un pakalpojumu iepirkumu veic saskaņā ar normatīvajiem aktiem publisko iepirkumu jomā, īstenojot atklātu, pārredzamu, nediskriminējošu un konkurenci nodrošinošu konkursa procedūru. Finansējuma saņēmējs projekta ietvaros nodrošina vides prasību integrāciju preču un pakalpojumu iepirkumos, īstenojot zaļo publisko iepirkumu, un vides un informācijas piekļūstamību, īstenojot sociāli atbildīgu publisko iepirkumu.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23-TA-1337</w:t>
    </w:r>
    <w:r>
      <w:br/>
    </w:r>
    <w:r w:rsidR="00000000" w:rsidRPr="00000000" w:rsidDel="00000000">
      <w:rPr>
        <w:rtl w:val="0"/>
      </w:rPr>
      <w:t xml:space="preserve">Izdrukāts 29.07.2026. 22.03 - 1.0.VK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23-TA-1337</w:t>
    </w:r>
    <w:r>
      <w:br/>
    </w:r>
    <w:r w:rsidR="00000000" w:rsidRPr="00000000" w:rsidDel="00000000">
      <w:rPr>
        <w:rtl w:val="0"/>
      </w:rPr>
      <w:t xml:space="preserve">Izdrukāts 29.07.2026. 22.03 - 1.0.VK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noteikumu_projekts_23-TA-1337.docx</dc:title>
</cp:coreProperties>
</file>

<file path=docProps/custom.xml><?xml version="1.0" encoding="utf-8"?>
<Properties xmlns="http://schemas.openxmlformats.org/officeDocument/2006/custom-properties" xmlns:vt="http://schemas.openxmlformats.org/officeDocument/2006/docPropsVTypes"/>
</file>