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Dzīvokļa īpašuma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Dzīvokļa īpašuma likumā (Latvijas Vēstnesis, 2010, 183. nr.; 2016, 239. nr.; 2017, 128. nr.; 2021, 22., 139., 244.B nr.; 2022, 63., 75.A nr.; 2024, 114.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15.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Dzīvokļu īpašnieku kopība uzskatāma par izveidotu ar brīdi, kad dzīvokļu īpašumos tiek sadalīta ekspluatācijā nodota dzīvojamā māja kopā ar tai piederīgajām palīgēkām, būvēm un zemi un vismaz viens dzīvokļa īpašums tiek ierakstīts zemesgrāmatā."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15.</w:t>
      </w:r>
      <w:r w:rsidR="00000000" w:rsidRPr="00000000" w:rsidDel="00000000">
        <w:rPr>
          <w:vertAlign w:val="superscript"/>
          <w:rtl w:val="0"/>
        </w:rPr>
        <w:t xml:space="preserve">3</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kopībai ir pienākums reģistrēties Valsts ieņēmumu dienestā kā nodokļu maksātājam, ja ieņēmumi pārskata gadā no saimnieciskās darbības pārsniegs divas valstī noteiktās minimālās mēneša darba 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astoto daļu pēc vārdiem "Nodokļu tiesību" ar vārdu "grāmatvedības".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pārvaldnieku reģistra numuru un elektronisko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datu saņemšanas par dzīvokļu īpašnieku kopības izveidi.  Identifikatoru veido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kopību reģistrā kā pārvaldnieku norāda to personu, kura attiecīgajai dzīvojamai mājai ir reģistrēta kā pārvaldnieks pārvaldnieku reģistrā. Saziņai ar dzīvokļu īpašnieku kopību izmanto pārvaldnieka juridisko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dzīvokļu īpašnieku kopību Būvniecības valsts kontroles birojs padara publiski pieejamas Dzīvokļa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Būvniecības valsts kontroles birojs no Dzīvokļu īpašnieku kopību reģistra dzēš dzīvokļu īpašumu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 ir pielīdzināma juridiskai personai attiecībā uz pienākumu atklāt tās patieso labuma guvēju Noziedzīgi iegūtu līdzekļu legalizācijas un terorisma un proliferācijas finansēšanas novēršanas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patieso labuma guvēju reģistrē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Uzņēmumu reģistrs ziņas par dzīvokļu īpašnieku kopības patieso labuma guvēju reģistrē Latvijas Republikas Uzņēmumu reģistra vestajā Juridisko veidojumu patieso labuma guvēju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Ziņu reģistrācija par dzīvokļu īpašnieku kopību veicama atbilstoši Latvijas Republikas Uzņēmumu reģistra vestā Juridisko veidojumu patieso labuma guvēju reģistra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ziņu reģistrāciju Latvijas Republikas Uzņēmumu reģistra vestajā Juridisko veidojumu patieso labuma guvēju reģistrā maksājama valsts nodeva, kuras apmēru un samaksas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pārejas noteikumus ar 13. un 14.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Dzīvokļu īpašnieku kopības, kas izveidotas līdz šā likuma spēkā stāšanās brīdim, Būvniecības valsts kontroles birojs Dzīvokļu īpašnieku kopību reģistrā reģistrē līdz 2026. gada 1. aprīlim.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Šo pārejas noteikumu 13. punkta kārtībā reģistrētās dzīvokļu īpašnieku kopības sniedz ziņas par tās patieso labuma guvēju šā likuma 15.</w:t>
      </w:r>
      <w:r w:rsidR="00000000" w:rsidRPr="00000000" w:rsidDel="00000000">
        <w:rPr>
          <w:vertAlign w:val="superscript"/>
          <w:rtl w:val="0"/>
        </w:rPr>
        <w:t xml:space="preserve">5</w:t>
      </w:r>
      <w:r w:rsidR="00000000" w:rsidRPr="00000000" w:rsidDel="00000000">
        <w:rPr>
          <w:rtl w:val="0"/>
        </w:rPr>
        <w:t xml:space="preserve"> panta noteiktajā kārtībā līdz 2026. gada 1. jūnijam."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5.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24-TA-1537</w:t>
    </w:r>
    <w:r>
      <w:br/>
    </w:r>
    <w:r w:rsidR="00000000" w:rsidRPr="00000000" w:rsidDel="00000000">
      <w:rPr>
        <w:rtl w:val="0"/>
      </w:rPr>
      <w:t xml:space="preserve">Izdrukāts 29.07.2026. 21.06 - 1.0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24-TA-1537</w:t>
    </w:r>
    <w:r>
      <w:br/>
    </w:r>
    <w:r w:rsidR="00000000" w:rsidRPr="00000000" w:rsidDel="00000000">
      <w:rPr>
        <w:rtl w:val="0"/>
      </w:rPr>
      <w:t xml:space="preserve">Izdrukāts 29.07.2026. 21.06 - 1.0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likumprojekts_(grozījumi)_24-TA-1537.docx</dc:title>
</cp:coreProperties>
</file>

<file path=docProps/custom.xml><?xml version="1.0" encoding="utf-8"?>
<Properties xmlns="http://schemas.openxmlformats.org/officeDocument/2006/custom-properties" xmlns:vt="http://schemas.openxmlformats.org/officeDocument/2006/docPropsVTypes"/>
</file>