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jūlijā (prot. Nr. 36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2020. gada 24. novembra rīkojumā Nr. 693 "Par informācijas sabiedrības attīstības pamatnostādņu ieviešanu publiskās pārvaldes informācijas sistēmu jomā (mērķarhitektūras 55.0.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24. novembra rīkojumā Nr. 693 "Par informācijas sabiedrības attīstības pamatnostādņu ieviešanu publiskās pārvaldes informācijas sistēmu jomā (mērķarhitektūras 55.0. versija)" (Latvijas Vēstnesis, 2020, 229.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Atbalstīt informācijas un komunikācijas tehnoloģiju mērķarhitektūras 55.0. versijā iekļautā projekta konsolidēto aprakstu (kopsavilkumu)."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Šmits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23-TA-1576</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23-TA-1576</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rīkojuma_(grozījumu)_projekts_23-TA-1576.docx</dc:title>
</cp:coreProperties>
</file>

<file path=docProps/custom.xml><?xml version="1.0" encoding="utf-8"?>
<Properties xmlns="http://schemas.openxmlformats.org/officeDocument/2006/custom-properties" xmlns:vt="http://schemas.openxmlformats.org/officeDocument/2006/docPropsVTypes"/>
</file>