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11. janvārī (prot. Nr. 2 63.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finansējumu, kas nepārsniedz 16 692 129 </w:t>
      </w:r>
      <w:r w:rsidR="00000000" w:rsidRPr="00000000" w:rsidDel="00000000">
        <w:rPr>
          <w:i w:val="1"/>
          <w:rtl w:val="0"/>
        </w:rPr>
        <w:t xml:space="preserve">euro</w:t>
      </w:r>
      <w:r w:rsidR="00000000" w:rsidRPr="00000000" w:rsidDel="00000000">
        <w:rPr>
          <w:rtl w:val="0"/>
        </w:rPr>
        <w:t xml:space="preserve">, lai atbilstoši Covid-19 infekcijas izplatības seku pārvarēšanas likuma 77. panta otrajai daļai kompensētu pašvaldībām izdevumus 50 procentu apmērā no faktiskajiem izdevumiem mājokļa pabalsta izmaksu nodrošināšanai, kas radušies laikposmā no 2022. gada 1. janvāra līdz 2022. gada 31. maijam.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21-TA-1822</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21-TA-1822</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rīkojuma_projekts_21-TA-1822.docx</dc:title>
</cp:coreProperties>
</file>

<file path=docProps/custom.xml><?xml version="1.0" encoding="utf-8"?>
<Properties xmlns="http://schemas.openxmlformats.org/officeDocument/2006/custom-properties" xmlns:vt="http://schemas.openxmlformats.org/officeDocument/2006/docPropsVTypes"/>
</file>