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Noteikumi par termiņu, cik ilgi amatpersonām aprēķinātais atalgojums ir publiskots iestādes tīmekļvietnē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 </w:t>
      </w:r>
      <w:r w:rsidR="00000000" w:rsidRPr="00000000" w:rsidDel="00000000">
        <w:rPr>
          <w:rStyle w:val="paragraph"/>
          <w:i w:val="1"/>
          <w:rtl w:val="0"/>
        </w:rPr>
        <w:t xml:space="preserve">Valsts pārvaldes iekārtas likuma</w:t>
      </w:r>
      <w:r w:rsidR="00000000" w:rsidRPr="00000000" w:rsidDel="00000000">
        <w:rPr>
          <w:rStyle w:val="paragraph"/>
          <w:i w:val="1"/>
          <w:rtl w:val="0"/>
        </w:rPr>
        <w:t xml:space="preserve"> </w:t>
      </w:r>
      <w:r w:rsidR="00000000" w:rsidRPr="00000000" w:rsidDel="00000000">
        <w:rPr>
          <w:rStyle w:val="paragraph"/>
          <w:i w:val="1"/>
          <w:rtl w:val="0"/>
        </w:rPr>
        <w:t xml:space="preserve">92. panta</w:t>
      </w:r>
      <w:r w:rsidR="00000000" w:rsidRPr="00000000" w:rsidDel="00000000">
        <w:rPr>
          <w:rStyle w:val="paragraph"/>
          <w:i w:val="1"/>
          <w:rtl w:val="0"/>
        </w:rPr>
        <w:t xml:space="preserve"> otro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nosaka termiņu, cik ilgi amatpersonām aprēķinātais atalgojums ir publiskots iestādes tīmekļvietnē.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Iestādes publiskotā informācija par amatpersonai iepriekšējā mēnesī aprēķināto atalgojumu ir pieejama iestādes tīmekļvietnē vienu mēnesi – līdz brīdim, kad tajā tiek publiskota nākamā informācija par amatpersonai aprēķināto atalgojumu.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25-TA-194</w:t>
    </w:r>
    <w:r>
      <w:br/>
    </w:r>
    <w:r w:rsidR="00000000" w:rsidRPr="00000000" w:rsidDel="00000000">
      <w:rPr>
        <w:rtl w:val="0"/>
      </w:rPr>
      <w:t xml:space="preserve">Izdrukāts 29.07.2026. 22.36 - 1.0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25-TA-194</w:t>
    </w:r>
    <w:r>
      <w:br/>
    </w:r>
    <w:r w:rsidR="00000000" w:rsidRPr="00000000" w:rsidDel="00000000">
      <w:rPr>
        <w:rtl w:val="0"/>
      </w:rPr>
      <w:t xml:space="preserve">Izdrukāts 29.07.2026. 22.36 - 1.0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noteikumu_projekts_25-TA-194.docx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