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Eiropas Komisija neatbalsta Eiropas Savienības kohēzijas politikas programmas 2021.–2027. gadam grozījumu priekšlikumus, kas saistīti ar 5.1.1.5. pasākuma "Unikāla Eiropas mēroga kultūras mantojuma atjaunošana, lai veicinātu to piekļūstamību, attīstot kultūras pakalpojumus" pieejamā finansējuma apmēra precizēšanu, Kultūras ministrijai sagatavot un kultūras ministram iesniegt izskatīšanai Ministru kabinetā informatīvo ziņojumu ar fiskāli neitrāliem priekšlikumiem turpmākai rīcībai.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26-TA-2181</w:t>
    </w:r>
    <w:r>
      <w:br/>
    </w:r>
    <w:r w:rsidR="00000000" w:rsidRPr="00000000" w:rsidDel="00000000">
      <w:rPr>
        <w:rtl w:val="0"/>
      </w:rPr>
      <w:t xml:space="preserve">Izdrukāts 25.09.2026. 19.03 - 2.0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mk_sēdes_protokollēmuma_projekts_26-TA-2181.docx</dc:title>
</cp:coreProperties>
</file>

<file path=docProps/custom.xml><?xml version="1.0" encoding="utf-8"?>
<Properties xmlns="http://schemas.openxmlformats.org/officeDocument/2006/custom-properties" xmlns:vt="http://schemas.openxmlformats.org/officeDocument/2006/docPropsVTypes"/>
</file>