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[24-TA-164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[24-TA-164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Izglītības iestādes direktora un direktora vietnieku darba samaksas finansēšanas aprēķins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iestādes direktora un direktora vietnieku slodžu skaits* izglītības iestādē finansējuma aprēķinam, atbilstoši izglītojamo skaitam vispārējās pamatizglītības un vidējās izglītības programmās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9"/>
        <w:gridCol w:w="2305"/>
        <w:gridCol w:w="2241"/>
        <w:gridCol w:w="2143"/>
        <w:tblGridChange w:id="0">
          <w:tblGrid>
            <w:gridCol w:w="2349"/>
            <w:gridCol w:w="2305"/>
            <w:gridCol w:w="2241"/>
            <w:gridCol w:w="214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iestādes direktora slodžu skaits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kas atbilst vienai direktora vietnieka slodzei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Direktora vietnieku slodzes izglītības iestādē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&lt;150 izglītojamie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1.1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150 - 599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 1.2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&gt;=600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 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ģimnāzijām papildus viena direktora vietnieka slodze metodiskās funkcijas nodrošināšanai, kā arī vispārējās izglītības iestādei, kura ir vienīgā vispārējās vidējās izglītības iestāde attiecīgajā administratīvajā teritorijā ar divām vai vairāk īstenošanas vietām (izņemot pirmsskolas izglītības īstenošanas vieta).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iestādes direktoru un direktora vietnieku darba samaksas finansējuma aprēķins, atbilstoši izglītojamo skaitam izglītības iestādē vispārējās pamatizglītības un vidējās izglītības programmās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1"/>
        <w:gridCol w:w="4629"/>
        <w:gridCol w:w="4629"/>
        <w:gridCol w:w="4629"/>
        <w:gridCol w:w="4629"/>
        <w:gridCol w:w="4629"/>
        <w:gridCol w:w="4629"/>
        <w:gridCol w:w="4629"/>
        <w:gridCol w:w="4629"/>
        <w:gridCol w:w="4629"/>
        <w:tblGridChange w:id="0">
          <w:tblGrid>
            <w:gridCol w:w="4711"/>
            <w:gridCol w:w="4629"/>
            <w:gridCol w:w="4629"/>
            <w:gridCol w:w="4629"/>
            <w:gridCol w:w="4629"/>
            <w:gridCol w:w="4629"/>
            <w:gridCol w:w="4629"/>
            <w:gridCol w:w="4629"/>
            <w:gridCol w:w="4629"/>
            <w:gridCol w:w="4629"/>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 direktors/ direktora vietnieks </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1.-12. klasēs izglītības iestādē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100 - 299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300 - 499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500 - 699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700 - 899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900 - 1099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1300 - 1499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1500</w:t>
            </w:r>
          </w:p>
        </w:tc>
      </w:tr>
      <w:tr>
        <w:tc>
          <w:tcPr>
            <w:shd w:fill="ffffff"/>
            <w:vAlign w:val="center"/>
            <w:noWrap w:val="true"/>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Koeficients pret administrācijas nominālo bruto mēneša darba algas par 1 slodzi (9,79 euro x 40h x 4 + 20%=1879,68 euro/mēnesī)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1.57 </w:t>
            </w:r>
          </w:p>
        </w:tc>
      </w:tr>
      <w:tr>
        <w:tc>
          <w:tcPr>
            <w:shd w:fill="ffffff"/>
            <w:vAlign w:val="center"/>
            <w:noWrap w:val="true"/>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Nominālā bruto mēneša darba algas likme euro (pedagogu zemākā vienas stundas likme 9,79 euro par slodzi 40 h nedēļā)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2 162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2 256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2 350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2 538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2 726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2 914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3 289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3 477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2 162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2 951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To izglītības iestāžu, kuras īsteno vispārējās izglītības programmas ieslodzījuma vietās, direktoru amata algas likmes koeficientu aprēķina par vienu pakāpi augstāku.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noteikumu_projekts_p4_24-TA-164.docx</dc:title>
</cp:coreProperties>
</file>

<file path=docProps/custom.xml><?xml version="1.0" encoding="utf-8"?>
<Properties xmlns="http://schemas.openxmlformats.org/officeDocument/2006/custom-properties" xmlns:vt="http://schemas.openxmlformats.org/officeDocument/2006/docPropsVTypes"/>
</file>