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Segto obligāciju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Segto obligāciju likumā (Latvijas Vēstnesis, 2021, 110. nr.; 2023, 128. nr.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39. pantu ar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 kura nodrošina šā pantā pirmajā daļā, šā likuma 44. panta trešajā daļā, šā likuma 97. panta pirmajā un otrajā daļā,  un šā likuma 103.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šā likuma 97. panta pirmajā un otrajā daļā un šā likuma 103. panta pirmajā daļā minēto informāciju Eiropas vienotajam piekļuves punktam sniedz Regulas Nr. 2023/2859 2. panta 3. punktā noteiktajā formātā. Informācija satur Regulas Nr. 2023/2859 7. panta 4. punkta “b” un “c” apakšpunktā minēto informāciju, tai skaitā visi tās kredītiestādes nosaukumi, kurai ir atļauts emitēt segtās obligācijas un uz kuru attiecas informācija un norādi, vai informācija satur fiziskas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Emitents ieguldītājiem atklājamo informāciju par segto obligāciju programmu publicē savā tīmekļvietnē un vienlaikus iesniedz Latvijas Bankā visā segto obligāciju programmas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Latvijas Bankai sniedz Regulas Nr. 2023/2859 2. panta 3. vai 4. punktā noteiktajā formātā. Informācija par piedāvājumu satur Regulas Nr. 2023/2859 7. panta 4. punkta “b”, “c” un “d” apakšpunktā minēto informāciju, tai skaitā visi tās kredītiestādes nosaukumi, kurai ir atļauts emitēt segtās obligācijas un uz kuru attiecas informācija un norādi, vai informācija satur fiziskas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39. panta ceturto un piekto daļu, 44. panta trešās daļas jauno reakciju un ceturto daļu piemēro, sākot ar  2030. gada 10. janvāri.”.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informatīvo atsauci uz Eiropas Savienības direktīvām ar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2023. gada 13. decembra direktīvas (ES) 2023/2864, ar ko attiecībā uz Eiropas vienotā piekļuves punkta izveidi un darbību groza konkrētas direktīvas.”.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25-TA-2563</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25-TA-2563</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likumprojekts_(grozījumi)_25-TA-2563.docx</dc:title>
</cp:coreProperties>
</file>

<file path=docProps/custom.xml><?xml version="1.0" encoding="utf-8"?>
<Properties xmlns="http://schemas.openxmlformats.org/officeDocument/2006/custom-properties" xmlns:vt="http://schemas.openxmlformats.org/officeDocument/2006/docPropsVTypes"/>
</file>