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101.A, 101.B, 120., 120.A, 137.A, 185.A, 197., 240.A nr.; 2023, 36.A, 57.A, 69., 106.A, 231. nr.; 2024, 108., 231.A nr.; 2025, 71., 244. nr.; 2026, 46., 119.A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6</w:t>
      </w:r>
      <w:r w:rsidR="00000000" w:rsidRPr="00000000" w:rsidDel="00000000">
        <w:rPr>
          <w:b w:val="1"/>
          <w:rtl w:val="0"/>
        </w:rPr>
        <w:t xml:space="preserve"> pants. Aizliegums atsevišķu preču ievešanai (importam) no Krievijas Federācijas un Baltkrievijas Republikas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nodrošinātu Latvijas sabiedrības drošību (publisko interešu aizsardzību), kā arī sniegtu vispārēju atbalstu Ukrainas sabiedrībai, ir aizliegta atsevišķu rūpniecības preču ievešana (importēšana) Latvijas Republikā no Krievijas Federācijas un Baltkrievijas Republikas, kā arī Krievijas Federācijas un Baltkrievijas Republikas izcelsmes rūpniecības preču ievešana (importēšana) Latvijas Republikā no citām trešajām valstīm.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kabinets izdod noteikumus, kuros atbilstoši Kombinētās nomenklatūras kodiem, kas noteikti Padomes 1987. gada 23. jūlija regulas (EEK) Nr. 2658/87 par tarifu un statistikas nomenklatūru un kopējo muitas tarifu I pielikumā un tās grozījumos, norāda rūpniecības preces, uz kurām attiecas šā panta pirmajā daļā noteiktais aizliegums.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Ar ievešanu (importēšanu) Latvijas Republikā šā panta pirmās daļas izpratnē saprot minēto preču izlaišanu šādās muitas procedūrās, kas noteiktas muitas jomu regulējošajos normatīvajos aktos: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laišana brīvā apgrozībā, izņemot gadījumu, kad preces laiž brīvā apgrozībā, lai tās piegādātu saņēmējam citā dalībvalstī, piemērojot atbrīvojumu no pievienotās vērtības nodokļa;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ievešana pārstrādei;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ievešana galapatēriņam."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48. un 49.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 Šā likuma 8.</w:t>
      </w:r>
      <w:r w:rsidR="00000000" w:rsidRPr="00000000" w:rsidDel="00000000">
        <w:rPr>
          <w:vertAlign w:val="superscript"/>
          <w:rtl w:val="0"/>
        </w:rPr>
        <w:t xml:space="preserve">6</w:t>
      </w:r>
      <w:r w:rsidR="00000000" w:rsidRPr="00000000" w:rsidDel="00000000">
        <w:rPr>
          <w:rtl w:val="0"/>
        </w:rPr>
        <w:t xml:space="preserve"> pants zaudē spēku 2027. gada 1. jūlijā.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Ministru kabinets līdz 2027. gada 1. martam un turpmāk katru gadu līdz šim datumam izvērtē, vai šā likuma 8.</w:t>
      </w:r>
      <w:r w:rsidR="00000000" w:rsidRPr="00000000" w:rsidDel="00000000">
        <w:rPr>
          <w:vertAlign w:val="superscript"/>
          <w:rtl w:val="0"/>
        </w:rPr>
        <w:t xml:space="preserve">6</w:t>
      </w:r>
      <w:r w:rsidR="00000000" w:rsidRPr="00000000" w:rsidDel="00000000">
        <w:rPr>
          <w:rtl w:val="0"/>
        </w:rPr>
        <w:t xml:space="preserve"> panta pirmajā daļā noteiktais preču ievešanas (importēšanas) aizliegums joprojām nodrošina Latvijas sabiedrības drošību (publisko interešu aizsardzību), vispārēja atbalsta sniegšanu Ukrainas sabiedrībai un atbilstību sabiedrības interesēm, kā arī iesniedz Saeimai ziņojumu par izvērtējumu un, ja nepieciešams, iesniedz noteiktajā kārtībā grozījumus attiecīgos normatīvajos aktos."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26-TA-1535</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26-TA-1535</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likumprojekts_(grozījumi)_26-TA-1535.docx</dc:title>
</cp:coreProperties>
</file>

<file path=docProps/custom.xml><?xml version="1.0" encoding="utf-8"?>
<Properties xmlns="http://schemas.openxmlformats.org/officeDocument/2006/custom-properties" xmlns:vt="http://schemas.openxmlformats.org/officeDocument/2006/docPropsVTypes"/>
</file>