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 (Latvijas Vēstnesis, 2024, 159.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Finansējuma saņēmējs pasākuma īstenošanā var piesaistīt sadarbības partneri – Valsts ieņēmumu dienestu. Lai noteiktu finansējuma saņēmēja un sadarbības partnera (ja attiecināms) savstarpējo atbildību, funkcijas, finansēšanas mehānismu, pārskatu sniegšanas kārtību un pienākumus projekta sekmīgai īstenošanai, finansējuma saņēmējs līdz projekta īstenošanas uzsākšanas brīdim izstrādā iekšējo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aprīlī.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25-TA-3088</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25-TA-3088</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noteikumu_(grozījumu)_projekts_25-TA-3088.docx</dc:title>
</cp:coreProperties>
</file>

<file path=docProps/custom.xml><?xml version="1.0" encoding="utf-8"?>
<Properties xmlns="http://schemas.openxmlformats.org/officeDocument/2006/custom-properties" xmlns:vt="http://schemas.openxmlformats.org/officeDocument/2006/docPropsVTypes"/>
</file>