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(turpmāk – specifiskais atbalsts) ceturto projektu iesniegumu atlases kārtu "Kultūras mantojuma saglabāšana, atjaunošana un ar to saistītās infrastruktūras attīstība Rīgas vēsturiskā centra teritorijā" (turpmāk – ceturtā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ceturtajai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iesnieguma (turpmāk – projekts) iesniedzējam un projekta sadarbības partnerim (turpmāk – sadarbības partneris), tai skaitā vienošanās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atbalsta komercdarbībai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ceturtās atlases kārtas īstenošanu nodrošina Kultūras ministrija kā atbildīgā iestāde (turpmāk – atbildīgā iestāde) kopīgi ar sadarbības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ceturtās atlases kārtas īstenošanas uzraudzībai atbildīgā iestāde izveido specifiskā atbalsta ceturtās atlases kārtas uzraudzības padomi (turpmāk – padome). Padomes sastāvā ir Kultūras ministrijas atbildīgās iestādes, Nacionālās kultūras mantojuma pārvaldes un Rīgas pilsētas pašvaldības pārstāvis. Padome darbojas saskaņā ar Kultūras ministrijas apstiprinātu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15.02.2022. noteikumiem Nr. 119)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ceturtās atlases kārtas mērķis ir saglabāt, aizsargāt un attīstīt pašvaldību attīstības programmās balstītu nozīmīgu kultūras mantojumu, attīstīt esošās funkcijas un piedāvāt jaunradītus pakalpojumus kultūras mantojuma objektos, nodrošinot investīciju ilgtspēju un ietekmi uz nozīmīgu kultūras mantojuma objektu sociālekonomiskā potenciāla attīstību un integrāciju vietējās ekonomikas struktūrā.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ceturtās atlases kārtas mērķa grupa ir kultūras mantojuma objektu īpašnieki, tiesiskie valdītāji un turētāji, ar kultūras un dabas mantojuma objektu saistīto pakalpojumu sniedzēji, iedzīvotāji, vietējie un ārvalstu tūristi.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ceturtās atlases kārtas iznākuma rādītāji – līdz 2023.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kultūras un dabas mantojuma objektu un tūrisma objektu apmeklējumu skaita paredzamais pieaugums, salīdzinot ar 2015. gadu, – ne mazāk kā 18 000 apmeklējumi;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dabas un kultūras mantojuma objektu skaits – ne mazāk kā četri objekti;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jaunradīto pakalpojumu skaits atbalstītajos kultūras un dabas mantojuma objektos – ne mazāk kā četri jaunradīti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2023. gada 31. decembrim tūristu mītnēs gada laikā Latvijas teritorijā pavadītās naktis – ne mazāk kā 6 852 024 naktis.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minēto objektu Lielo ģildi Amatu ielā 6 atjauno pa posmiem, un specifiskā atbalsta ietvaros minētā objekta atjaunošanas pirmo posmu īsteno, sasniedzot specifiskā atbalsta uzraudzības rādītāju – izstrādāts un būvvaldē saskaņots objekta Lielās ģildes Amatu ielā 6 atjaunošanas darbu būvprojekts –, bet neparedzot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iznākuma rādītāju sasniegšanu.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ceturtās atlases kārtas ietvaros plānotais kopējais attiecināmais finansējums ir ne mazāk kā 8 055 897 </w:t>
      </w:r>
      <w:r w:rsidR="00000000" w:rsidRPr="00000000" w:rsidDel="00000000">
        <w:rPr>
          <w:i w:val="1"/>
          <w:rtl w:val="0"/>
        </w:rPr>
        <w:t xml:space="preserve">euro</w:t>
      </w:r>
      <w:r w:rsidR="00000000" w:rsidRPr="00000000" w:rsidDel="00000000">
        <w:rPr>
          <w:rtl w:val="0"/>
        </w:rPr>
        <w:t xml:space="preserve">, tai skaitā Eiropas Reģionālās attīstības fonda finansējums granta veidā – ne vairāk kā 6 847 512 </w:t>
      </w:r>
      <w:r w:rsidR="00000000" w:rsidRPr="00000000" w:rsidDel="00000000">
        <w:rPr>
          <w:i w:val="1"/>
          <w:rtl w:val="0"/>
        </w:rPr>
        <w:t xml:space="preserve">euro</w:t>
      </w:r>
      <w:r w:rsidR="00000000" w:rsidRPr="00000000" w:rsidDel="00000000">
        <w:rPr>
          <w:rtl w:val="0"/>
        </w:rPr>
        <w:t xml:space="preserve"> (tostarp 906 885 </w:t>
      </w:r>
      <w:r w:rsidR="00000000" w:rsidRPr="00000000" w:rsidDel="00000000">
        <w:rPr>
          <w:i w:val="1"/>
          <w:rtl w:val="0"/>
        </w:rPr>
        <w:t xml:space="preserve">euro </w:t>
      </w:r>
      <w:r w:rsidR="00000000" w:rsidRPr="00000000" w:rsidDel="00000000">
        <w:rPr>
          <w:rtl w:val="0"/>
        </w:rPr>
        <w:t xml:space="preserve">virssaistību finansējums) un nacionālais finansējums (valsts budžeta finansējums un pašvaldības finansējums) – 1 208 385 </w:t>
      </w:r>
      <w:r w:rsidR="00000000" w:rsidRPr="00000000" w:rsidDel="00000000">
        <w:rPr>
          <w:i w:val="1"/>
          <w:rtl w:val="0"/>
        </w:rPr>
        <w:t xml:space="preserve">euro.</w:t>
      </w:r>
      <w:r w:rsidR="00000000" w:rsidRPr="00000000" w:rsidDel="00000000">
        <w:rPr>
          <w:rtl w:val="0"/>
        </w:rPr>
        <w:t xml:space="preserve"> Pašvaldības finansējums var pārsniegt 15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projekta iesniedzējs neveic saimniecisko darbību un atbalsta sniegšana specifiskā atbalsta ietvaros tam nav kvalificējama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iesniedzējam un sadarbības partnerim, kas veic saimniecisko darbību un kam atbalsta sniegšana specifiskā atbalsta mērķa ietvaros ir kvalificējama kā valsts atbalsts komercdarbībai,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Komisijas regula Nr. 651/2014), 53. panta 6. punktam nepārsniedz starpību starp šo noteikumu 35., 37. un 38. punktā norādītajām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un sadarbības partneris var saņemt ieguldījumu atbalstu no publiskā finansējuma,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kapitālsabiedrībai, pašvaldībai vai pašvaldības iestādei, ja projektā īstenotajā infrastruktūrā neveic saimniecisko darbību un atbalsta sniegšana specifiskā atbalsta ietvaros nav kvalificējama kā valsts atbalsts komercdarbībai,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kapitālsabiedrībai, pašvaldībai vai pašvaldības iestādei, ja projektā īstenotajā infrastruktūrā veic saimniecisko darbību un atbalsta sniegšana specifiskā atbalsta ietvaros kvalificējama kā valsts atbalsts komercdarbībai, publiskais finansējums nepārsniedz šo noteikumu 11. punktā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iesniedzējs un sadarbības partneris neveic saimniecisko darbību un atbalsta sniegšana specifiskā atbalsta ietvaros tam nav kvalificējama kā valsts atbalsts komercdarbībai, projekta iesniedzēja un sadarbības partnera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iesniedzējs un sadarbības partneris veic saimniecisko darbību un atbalsta sniegšana tam specifiskā atbalsta ietvaros ir kvalificējama kā valsts atbalsts komercdarbībai,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Specifiskā atbalsta ceturtās atlases kārtas ietvaros kultūras mantojuma objektu atjaunošanai Rīgā pieejams šāds Eiropas Reģionālās attīstības fonda finansējums: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Dailes teātra skvēram – ne vairāk kā 1 680 000 </w:t>
      </w:r>
      <w:r w:rsidR="00000000" w:rsidRPr="00000000" w:rsidDel="00000000">
        <w:rPr>
          <w:i w:val="1"/>
          <w:rtl w:val="0"/>
        </w:rPr>
        <w:t xml:space="preserve">euro</w:t>
      </w:r>
      <w:r w:rsidR="00000000" w:rsidRPr="00000000" w:rsidDel="00000000">
        <w:rPr>
          <w:rtl w:val="0"/>
        </w:rPr>
        <w:t xml:space="preserve"> (tai skaitā virssaistību finansējums 906 885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strēlnieku laukumam – ne vairāk kā 739 222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Lielajai ģildei Amatu ielā 6 – ne vairāk kā 368 084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pils Konventam (Kastelai) Pils laukumā 3 – ne vairāk kā 2 816 417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cirka vēsturiskajai ēkai Merķeļa ielā 4 – ne vairāk kā 1 243 789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specifiskā atbalsta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specifiskā atbalsta ceturtās atlases kārtas ietvaros ir pašvaldība, pašvaldības iestāde, valsts sabiedrība ar ierobežotu atbildību "Rīgas cirks" un valsts akciju sabiedrība "Valsts nekustamie īpašumi", kuras īpašumā, turējumā, lietošanā vai valdījumā atrodas kultūras mantojuma objekts,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specifiskā atbalsta ceturtās atlases kārtas ietvaros projekta īstenošanai var piesaistīt sadarbības partneri – pašvaldību, pašvaldības iestādi un valsts akciju sabiedrību "Valsts nekustamie īpašumi", kuras īpašumā, turējumā vai valdījumā atrodas kultūras mantojuma objekts,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Sadarbības partneris iesaistās projekta īstenošanā ar tā īpašumā esošu nekustamo īpašumu, finansējumu vai cilvēkresursiem. Šādi ieguldījumi finansējuma saņēmējam ar sadarbības partneri nerada tādas tiesiskās attiecības, no kurām izriet, ka šis darījums atbilst publiska iepirkuma līguma pazīmēm atbilstoši Publisko iepirkumu likumam vai Sabiedrisko pakalpojumu sniedzēju iepirkumu likumam vai ka darījumam piemērojami normatīvie akti par iepirkuma procedūru un tās piemērošanas kārtību pasūtītāja finansētiem projektiem.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un sadarbības partneris nevar pretendēt uz finansējumu,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grūtībās nonākuša komersanta statusam saskaņā ar Komisijas regulas Nr. 651/2014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dome ir pieņēmusi lēmumu par finanšu stabilizācijas pieteikuma iesniegšanu (attiecināms uz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ministrs ir iecēlis pašvaldības finanšu stabilizācijas procesa uzraugu attiecīgajā pašvaldībā (attiecināms uz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projekta iesniedzējs pretendē uz komercdarbības atbalstu saskaņā ar Komisijas regulas Nr. 651/2014 53. pantu, 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projekts ir saistīts ar saimnieciskās darbības veikšanu un izveidotās infrastruktūras amortizācijas periodā (projekta dzīves cikla laikā) ieņēmumi no saimnieciskās darbības atbalstītajā objektā ir mazāki par 50 procentiem no kultūras jomas pakalpojumu sniedzēja gada budžeta atbalstītajā objektā, projekta iesniedzējam izmaksu un ieguvumu analīze nav jāveic.</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valsts atbalstu komercdarbībai sniedz saskaņā ar Komisijas regulas Nr. 651/2014 53. 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22. punktā minētās izmaksu un ieguvumu analīzes pārrēķinu un sadarbības iestādei atmaksā starpību starp faktisko un plānoto peļņu no pamatdarbības.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 un sadarbības partneris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un publicitātes pasākumus, kas noteikti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rezultātu ilgtspēju vismaz piecus gadus pēc tam, kad sadarbības iestāde ir veikusi noslēguma maksājumu.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ar valsts atbalstu komercdarbībai saistīta projekta dokumentāciju glabā visu projekta pārskata periodu (projekta dzīves ciklu), sākot no dienas, kad tam ir piešķirts individuālais valsts atbalsts komercdarbībai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uzkrāj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projekta ietekmi uz šo noteikumu 8.1. apakšpunktā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projekta ietekmi uz šo noteikumu 8.2. apakšpunktā minēto rezultāta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objektu skaitu, kuros Eiropas Reģionālās attīstības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objektu skaitu, kuros, īstenojot projektu, publiskajā iepirkumā izmantoti zaļā iepirkuma principi;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enerģijas patēriņu pēc projekta īstenošanas (megavatstundas). Finansējuma saņēmējs projekta iesniegumā norāda būves enerģijas patēriņu pirms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Avansa un starpposma maksājumu kopsumma nepārsniedz 90 procentus no projektam piešķirtā Eiropas Reģionālās attīstības fonda finansējuma un valsts budžeta līdzfinansējuma kopsummas.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ar saimniecisko darbību nesaistīts projekts tā ieviešanas gaitā vai projekta pārskata periodā (projekta dzīves cikla laikā) kļūst par projektu, kas saistīts ar saimniecisku darbību, un atbalsts tam kvalificējams kā valsts atbalsts komercdarbībai, tiek piemēroti Komisijas regulas Nr.  </w:t>
      </w:r>
      <w:r w:rsidR="00000000" w:rsidRPr="00000000" w:rsidDel="00000000">
        <w:rPr>
          <w:rtl w:val="0"/>
        </w:rPr>
        <w:t xml:space="preserve">651/2014</w:t>
      </w:r>
      <w:r w:rsidR="00000000" w:rsidRPr="00000000" w:rsidDel="00000000">
        <w:rPr>
          <w:rtl w:val="0"/>
        </w:rPr>
        <w:t xml:space="preserve"> 53. panta nosacījumi. Ja Komisijas regulas Nr.  </w:t>
      </w:r>
      <w:r w:rsidR="00000000" w:rsidRPr="00000000" w:rsidDel="00000000">
        <w:rPr>
          <w:rtl w:val="0"/>
        </w:rPr>
        <w:t xml:space="preserve">651/2014</w:t>
      </w:r>
      <w:r w:rsidR="00000000" w:rsidRPr="00000000" w:rsidDel="00000000">
        <w:rPr>
          <w:rtl w:val="0"/>
        </w:rPr>
        <w:t xml:space="preserve"> 53. panta nosacījumus nav iespējams piemērot, piešķirtais atbalsts ir nelikumīgs komercdarbības atbalsts un atbalsta sniedzējs piemēro šo noteikumu </w:t>
      </w:r>
      <w:r w:rsidR="00000000" w:rsidRPr="00000000" w:rsidDel="00000000">
        <w:rPr>
          <w:rtl w:val="0"/>
        </w:rPr>
        <w:t xml:space="preserve">51.</w:t>
      </w:r>
      <w:r w:rsidR="00000000" w:rsidRPr="00000000" w:rsidDel="00000000">
        <w:rPr>
          <w:rtl w:val="0"/>
        </w:rPr>
        <w:t xml:space="preserve"> punktā minētās nelikumīgā komercdarbības atbalsta atgūšanas normas.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w:t>
      </w:r>
      <w:r w:rsidR="00000000" w:rsidRPr="00000000" w:rsidDel="00000000">
        <w:rPr>
          <w:rtl w:val="0"/>
        </w:rPr>
        <w:t xml:space="preserve">22.</w:t>
      </w:r>
      <w:r w:rsidR="00000000" w:rsidRPr="00000000" w:rsidDel="00000000">
        <w:rPr>
          <w:rtl w:val="0"/>
        </w:rPr>
        <w:t xml:space="preserve"> punktā minētās izmaksu un ieguvumu analīzes pārrēķinu un sadarbības iestādei atmaksā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119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specifiskā atbalsta mērķa vai specifiskā atbalsta mērķa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Projektā iekļauj atbalstāmās darbības, kas sekmē šo noteikumu 6. punktā minētā specifiskā atbalsta mērķa un šo noteikumu 8. punktā minēto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nozīmes arhitektūras, arheoloģijas, vēstures, kā arī pilsētbūvniecības pieminekļu atjaunošana, konservācija, pārbūve vai restaurācija;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pakalpojumu izveide, paplašinot kultūras mantojuma saturisko piedāvājumu;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un sadarbības partneris projekta ietvaros iepirkumus veic atbilstoši normatīvajiem aktiem publisko iepirkumu jomā, īstenojot atklātu, pārredzamu, nediskriminējošu un konkurenci nodrošinošu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Objekti, kuros plānotas investīcijas, atrodas projekta iesniedzēja vai sadarbības partnera īpašumā, turējumā vai valdījumā.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Izdevumi ir attiecināmi no šo noteikumu spēkā stāšanās dienas, izņemot šo noteikumu 35.2. apakšpunktā minētās izmaksas, kas ir uzskatāmas par attiecināmām finansēšanai no Eiropas Reģionālās attīstības fonda un valsts budžeta finansējuma, ja tās radušās ne agrāk kā 2014.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35.1.1. apakšpunktā minētajām izmaksām, ko aprēķina: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tām izmaksām,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netiešo izmaksu vienoto likmi nepiemērojot projektiem, kas kvalificējami kā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tiešās attiecināmās izmaksas, kas sekmē šo noteikumu 30. punktā minētās atbalstāmās darbības,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projekta īstenošanu un mērķa sasniegšanu un radušās uz darba līguma vai uzņēmuma līguma pamata, tai skaitā valsts sociālās apdrošināšanas obligātās iemaksas no apliekamajām attiecināmajām izmaksām, ņemot vērā, ka: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pieciem miljoniem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projektu vadības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atlīdzības izmaksas, ievērojot, ka attiecināma ir ne mazāka kā 30 procentu noslodze noteiktā laikposmā (vismaz viens mēnesis), ja personāls iesaistīts projektā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kultūras mantojuma objektu saistītās ekspozīcijas (tai skaitā iekštelpu un ārtelpu ekspozīcijas) un tās tehniskā projekta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ekspertu izmaksas, kas tieši saistītas ar investīcijām infrastruktūrā, būvuzraudzības, autoruzraudzības un arheoloģiskās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esošas būves, tai skaitā kultūras mantojuma objekta sasniedzamību un pieejamību nodrošinošās infrastruktūras (satiksmes pārvadi, ielas un ar tām saistītā infrastruktūra, gājēju ceļi, gājēju tilti, labiekārtoti laukumi ar segumu, kāpnes, apgaismojums), atjaunošana, konservācija, pārbūve vai restaurācija un ar to saistītās publiskās ārtelpas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būves, tai skaitā kultūras mantojuma objekta sasniedzamību un pieejamību nodrošinošās infrastruktūras (satiksmes pārvadi, ielas un ar tām saistītā infrastruktūra, gājēju ceļi, gājēju tilti, labiekārtoti laukumi ar segumu, kāpnes, apgaismojums, ārtelpas elementi), būvniecība un ar to saistītās publiskās ārtelpas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ceturtās atlases kārtas ietvaros atjaunoto, konservēto, pārbūvēto, restaurēto vai uzbūvēto būvju funkcionalitātes nodrošināšanai nepieciešamo inženiertīklu (tai skaitā ūdensvada, sadzīves kanalizācijas, lietusūdens kanalizācijas, elektrības, elektronisko sakaru, siltumapgādes, ventilācijas un ugunsdzēsības sistēmas) atjaunošana, pārbūve vai būvniecība;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inženierinfrastruktūras pārbūve vai funkcionāls savienojums, tai skaitā lietusūdens kanalizācijas infrastruktūras izbūve vai pārbūve (piegulošo inženiertīklu pārbūves izmaksas attiecināmas tikai tad,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kultūras mantojumu saistītās iekštelpu un ārtelpu ekspozīcijas izmaksas, aprīkojuma iegādes un uzstādīšanas izmaksas, kas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minētajiem objektiem nepārsniedz 25 procentus no projekta kopējām attiecināmajām izmaksām, bet šo noteikumu </w:t>
      </w:r>
      <w:r w:rsidR="00000000" w:rsidRPr="00000000" w:rsidDel="00000000">
        <w:rPr>
          <w:rtl w:val="0"/>
        </w:rPr>
        <w:t xml:space="preserve">14.5. </w:t>
      </w:r>
      <w:r w:rsidR="00000000" w:rsidRPr="00000000" w:rsidDel="00000000">
        <w:rPr>
          <w:rtl w:val="0"/>
        </w:rPr>
        <w:t xml:space="preserve">apakšpunktā</w:t>
      </w:r>
      <w:r w:rsidR="00000000" w:rsidRPr="00000000" w:rsidDel="00000000">
        <w:rPr>
          <w:rtl w:val="0"/>
        </w:rPr>
        <w:t xml:space="preserve"> minētajam objektam – 100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tiešajām attiecināmajām izmaksām. Ja projekta iesniegumā plānotās darbības kvalificējamas kā valsts atbalsts, publicitātes izmaksas nav attiecināmas.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35.2. apakšpunktā minētās izmaksas kopā nedrīkst pārsniegt 10 procentus no projekta kopējām attiecināmajām izmaksām, izņemot šo noteikumu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minēto Lielās ģildes Amatu ielā 6 atjaunošanas projektu.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35.1., 35.2., 35.3., 35.4., 35.5., 35.6. un 35.7. apakšpunktā un šo noteikumu 37. un 38. punktā minētās izmaksas ir attiecināmas, ja tās ir ieguldījumi materiālajos aktīvos, kā noteikts Komisijas regulas Nr. 651/2014 2. panta 29. punktā, vai nemateriālajos aktīvos, kā noteikts Komisijas regulas Nr. 651/2014 2. panta 30. punktā, un ir saistītas ar pamatlīdzekļa vērtību.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nodrošina, lai vienas un tās pašas darbības netiktu finansētas dubultā.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saviem līdzekļiem. Ja projekta iesniedzējs un sadarbības partneris veic saimniecisko darbību un atbalsta sniegšana tam specifiskā atbalsta ietvaros ir kvalificējama kā valsts atbalsts komercdarbībai, projekta iesniedzējs un sadarbības partneris privāto finansējumu nodrošina no tādiem pašu līdzekļiem, par kuriem nav saņemts nekāds publisks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Valsts atbalsta komercdarbībai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atbalstu komercdarbībai šo noteikumu ietvaros sniedz saskaņā ar Komisijas regulas Nr. 651/2014 53.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Projektam netiek piemēroti Komisijas regulas Nr.  </w:t>
      </w:r>
      <w:r w:rsidR="00000000" w:rsidRPr="00000000" w:rsidDel="00000000">
        <w:rPr>
          <w:rtl w:val="0"/>
        </w:rPr>
        <w:t xml:space="preserve">651/2014</w:t>
      </w:r>
      <w:r w:rsidR="00000000" w:rsidRPr="00000000" w:rsidDel="00000000">
        <w:rPr>
          <w:rtl w:val="0"/>
        </w:rPr>
        <w:t xml:space="preserve"> 53. panta nosacījumi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nav saistīts ar saimnieciskās darbības veikšanu jeb izveidotās infrastruktūras amortizācijas periodā (projekta dzīves cikla laika) ieņēmumi no saimnieciskās darbības atbalstītajā objektā ir mazāki par 50 procentiem no kultūras jomas pakalpojumu sniedzēja gada budžeta atbalstītajā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procenti ir Latvijas iedzīvotāji.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119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atbalstu komercdarbībai projekta iesniedzējam piešķir saskaņā ar Komisijas regulu Nr. 651/2014, ja ievēroti visi šajā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Komisijas regulas Nr. 651/2014 53. panta 2. punkta "a" vai "b" apakšpunktā norādītajiem mērķiem un darbībām un ir ievēroti Komisijas regulas Nr. 651/2014 1. panta 2. punkta "c" un "d" apakšpunktā, 3. punktā un 4. punkta "a" apakšpunktā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projekta ietvaros piešķirtais atbalsts nepārsniedz 150 miljonus </w:t>
      </w:r>
      <w:r w:rsidR="00000000" w:rsidRPr="00000000" w:rsidDel="00000000">
        <w:rPr>
          <w:i w:val="1"/>
          <w:rtl w:val="0"/>
        </w:rPr>
        <w:t xml:space="preserve">euro</w:t>
      </w:r>
      <w:r w:rsidR="00000000" w:rsidRPr="00000000" w:rsidDel="00000000">
        <w:rPr>
          <w:rtl w:val="0"/>
        </w:rPr>
        <w:t xml:space="preserve"> atbilstoši Komisijas regulas Nr. 651/2014 4. panta 1. punkta "z" apakšpunktā noteiktajai paziņošanas robežvērtībai ieguldījumu atbalstam kultūrai;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651/2014 53. pantu vienam vai vairākiem 53. panta 2. punkta "a" un "b" apakšpunktā minētajiem mērķiem vai darbībām,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nesniedz Komisijas regulas Nr. 651/2014 53. panta 10. punktā minētajām nozarēm;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ievēroti Komisijas regulas Nr. 651/2014 1. panta 5. punkta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ievērots nosacījums, ka vismaz 80 procentu no infrastruktūras gada jaudas laika vai platības izteiksmē izmanto kultūras mērķim.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43.1.</w:t>
      </w:r>
      <w:r w:rsidR="00000000" w:rsidRPr="00000000" w:rsidDel="00000000">
        <w:rPr>
          <w:rtl w:val="0"/>
        </w:rPr>
        <w:t xml:space="preserve"> apakšpunktā minētajā gadījumā ir pieļaujams veikt papildpakalpojumus, kuriem nebūtu ietekmes uz tirdzniecību un konkurenci Eiropas Savienības iekšējā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119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Valsts atbalstu šo noteikumu ietvaros drīkst apvienot ar citu valsts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11. punktā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atbalstītajā objektā konstatē valsts atbalstu komercdarbībai, finansējuma saņēmējs sadarbības iestādei sniedz informāciju, vai par tām pašām attiecināmajām izmaksām ir plānots piešķirt atbalstu vai tas jau ir piešķirts, norādot atbalsta piešķiršanas datumu, atbalsta sniedzēja nosaukumu, atbalsta pasākumu, plānoto vai piešķirto atbalsta summu un atbalsta intensitāti, lai varētu izvērtēt, vai netiek pārsniegtas atbalsta apvienošanas normas.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119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Lēmumu par atbalsta piešķiršanu saskaņā ar Komisijas regulu Nr. 651/2014 pieņem līdz Komisijas regulas Nr. 651/2014 58. panta 4. punktā un 59. pantā noteiktajam termiņam.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 nodrošina Komisijas 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Sadarbības iestāde nodrošina Komisijas regulas Nr. 651/2014 12. panta 1. punktā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nodrošina projekta uzraudzību visā projekta pārskata periodā (projekta dzīves cikla laikā), kas noteikts Komisijas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pārskata periodā (projekta dzīves cikla laikā) finansējuma saņēmējs atbilstoši komercdarbības atbalsta piemērošanas metodikai kultūras nozares projektiem specifiskā atbalsta ietvaros reizi gadā līdz kārtējā gada 1. jūnijam iesniedz sadarbības iestādē informāciju, kas nepieciešama, lai izvērtētu, vai projekts atbilst šo noteikumu </w:t>
      </w:r>
      <w:r w:rsidR="00000000" w:rsidRPr="00000000" w:rsidDel="00000000">
        <w:rPr>
          <w:rtl w:val="0"/>
        </w:rPr>
        <w:t xml:space="preserve">43.</w:t>
      </w:r>
      <w:r w:rsidR="00000000" w:rsidRPr="00000000" w:rsidDel="00000000">
        <w:rPr>
          <w:rtl w:val="0"/>
        </w:rPr>
        <w:t xml:space="preserve"> punktā minētajiem nosacījumiem. Lēmums par komercdarbības atbalsta piešķiršanu saskaņā ar Komisijas regulu Nr.  </w:t>
      </w:r>
      <w:r w:rsidR="00000000" w:rsidRPr="00000000" w:rsidDel="00000000">
        <w:rPr>
          <w:rtl w:val="0"/>
        </w:rPr>
        <w:t xml:space="preserve">651/2014</w:t>
      </w:r>
      <w:r w:rsidR="00000000" w:rsidRPr="00000000" w:rsidDel="00000000">
        <w:rPr>
          <w:rtl w:val="0"/>
        </w:rPr>
        <w:t xml:space="preserve"> ir sadarbības iestādes lēmums par atbilstību komercdarbības atbalsta normām.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119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ir pārkāptas Komisijas regulas Nr.  </w:t>
      </w:r>
      <w:r w:rsidR="00000000" w:rsidRPr="00000000" w:rsidDel="00000000">
        <w:rPr>
          <w:rtl w:val="0"/>
        </w:rPr>
        <w:t xml:space="preserve">651/2014</w:t>
      </w:r>
      <w:r w:rsidR="00000000" w:rsidRPr="00000000" w:rsidDel="00000000">
        <w:rPr>
          <w:rtl w:val="0"/>
        </w:rPr>
        <w:t xml:space="preserve"> prasības vai ir konstatēts, ka ar saimniecisko darbību nesaistīts projekts tā ieviešanas gaitā vai projekta pārskata periodā (projekta dzīves cikla laikā) kļūst par projektu, kas saistīts ar saimniecisko darbību, un tam nav iespējams piemērot Komisijas regulas Nr.  </w:t>
      </w:r>
      <w:r w:rsidR="00000000" w:rsidRPr="00000000" w:rsidDel="00000000">
        <w:rPr>
          <w:rtl w:val="0"/>
        </w:rPr>
        <w:t xml:space="preserve">651/2014</w:t>
      </w:r>
      <w:r w:rsidR="00000000" w:rsidRPr="00000000" w:rsidDel="00000000">
        <w:rPr>
          <w:rtl w:val="0"/>
        </w:rPr>
        <w:t xml:space="preserve">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119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22-TA-2935</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22-TA-2935</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noteikumu_konsolidētā_versija_22-TA-2935.docx</dc:title>
</cp:coreProperties>
</file>

<file path=docProps/custom.xml><?xml version="1.0" encoding="utf-8"?>
<Properties xmlns="http://schemas.openxmlformats.org/officeDocument/2006/custom-properties" xmlns:vt="http://schemas.openxmlformats.org/officeDocument/2006/docPropsVTypes"/>
</file>