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jūlijā (prot. Nr. 30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(turpmāk – pasākums) pirmo projektu iesniegumu atlases kārtu (turpmāk –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kārtai pieejamo Kohēzijas fonda finansējumu un privātā 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 (turpmāk – projekta iesniedzējs)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Atlases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kārtas ietvaros tiek īstenoti Eiropas Savienības struktūrfondu un Kohēzijas fonda 2014.–2020. gada plānošanas perioda darbības programmas "Izaugsme un nodarbinātība" 6.2.1. specifiskā atbalsta mērķa "Nodrošināt konkurētspējīgu un videi draudzīgu TEN-T dzelzceļa tīklu, veicinot tā drošību, kvalitāti un kapacitāti" 6.2.1.2. pasākuma "Dzelzceļa infrastruktūras modernizācija un izbūve" posmotie projekti Nr. 6.2.1.2/21/I/001 "Dzelzceļa pasažieru infrastruktūras modernizācija" un Nr. 6.2.1.2/22/I/002 "Dzelzceļa infrastruktūras modernizācija vilcienu kustības ātruma paaugstināšanai".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Kohēzijas fonda finansējumu atlases kārtas ietvaros piešķir granta veidā. Maksimālais attiecināmais Kohēzijas fonda finansējuma apmērs nav lielāks par 85 % un privātā finansējuma apmērs nav mazāks par 15 % no projektam pieejamā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kārtas ietvaros atbildīgās iestādes funkcijas pilda Satiksmes ministrija (turpmāk – atbildīgā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kārtas mērķis, sasniedzamie rādītāji un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un atlases kārtas mērķis ir paaugstināt pasažieru un vilcienu kustības drošību, pasažieru apkalpošanas kvalitāti un komfortu.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un atlases kārtas mērķa grupa ir dzelzceļa infrastruktūras lietotāji un ar tiem saistītie citu transporta veidu satiksmes dalībnieki.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Atlases kārtas ietvaros līdz 2029. gada 31. decembrim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rādītājs – vilcienu kustības ātruma palielināšanās modernizētajā līnijā līdz 140 km/h;</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modernizētās dzelzceļa pasažieru infrastruktūras īpatsvars – 49 %;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iznākuma rādītājs – staciju skaits, kurās uzbūvēti paaugstinātie peroni, – 45;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iznākuma rādītājs – rekonstruēto vai modernizēto dzelzceļa līniju kopējais garums – 100 km.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8.3.</w:t>
      </w:r>
      <w:r w:rsidR="00000000" w:rsidRPr="00000000" w:rsidDel="00000000">
        <w:rPr>
          <w:rtl w:val="0"/>
        </w:rPr>
        <w:t xml:space="preserve"> un </w:t>
      </w:r>
      <w:r w:rsidR="00000000" w:rsidRPr="00000000" w:rsidDel="00000000">
        <w:rPr>
          <w:rtl w:val="0"/>
        </w:rPr>
        <w:t xml:space="preserve">8.4. </w:t>
      </w:r>
      <w:r w:rsidR="00000000" w:rsidRPr="00000000" w:rsidDel="00000000">
        <w:rPr>
          <w:rtl w:val="0"/>
        </w:rPr>
        <w:t xml:space="preserve">apakšpunktā</w:t>
      </w:r>
      <w:r w:rsidR="00000000" w:rsidRPr="00000000" w:rsidDel="00000000">
        <w:rPr>
          <w:rtl w:val="0"/>
        </w:rPr>
        <w:t xml:space="preserve"> noteiktais iznākuma rādītājs ir sasniegts, kad tiek pabeigti projektā paredzētie būvdarbi un objekti ir nodoti ekspluatācijā.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Centrālajā finanšu un līgumu aģentūrā (turpmāk – sadarbības iestāde) noslēguma maksājuma pieprasījumu, kurā pamatota rādītāja sasniegšana, un sadarbības iestāde to apstiprina. Rezultāta rādītāja vērtība ir attiecināma, ja tā radusies viena kalendāra gada laikā pēc projekta noslēguma maksājuma veikšanas. Ja finansējuma saņēmējs rezultāta rādītāja vērtību sasniedz, sadarbības iestāde turpmāko projekta rezultāta rādītāja izpildi nekontrolē.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Atlases kārtas ietvaros kopējais attiecināmais finansējums ir ne lielāks kā 61 642 051 </w:t>
      </w:r>
      <w:r w:rsidR="00000000" w:rsidRPr="00000000" w:rsidDel="00000000">
        <w:rPr>
          <w:i w:val="1"/>
          <w:rtl w:val="0"/>
        </w:rPr>
        <w:t xml:space="preserve">euro,</w:t>
      </w:r>
      <w:r w:rsidR="00000000" w:rsidRPr="00000000" w:rsidDel="00000000">
        <w:rPr>
          <w:rtl w:val="0"/>
        </w:rPr>
        <w:t xml:space="preserve"> tai skaitā Kohēzijas fonda finansējums – 52 395 743 </w:t>
      </w:r>
      <w:r w:rsidR="00000000" w:rsidRPr="00000000" w:rsidDel="00000000">
        <w:rPr>
          <w:i w:val="1"/>
          <w:rtl w:val="0"/>
        </w:rPr>
        <w:t xml:space="preserve">euro</w:t>
      </w:r>
      <w:r w:rsidR="00000000" w:rsidRPr="00000000" w:rsidDel="00000000">
        <w:rPr>
          <w:rtl w:val="0"/>
        </w:rPr>
        <w:t xml:space="preserve"> un privātais finansējums – ne mazāks kā 9 246 308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iesnieguma iesniedzējam, 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ir valsts akciju sabiedrība "Latvijas dzelzceļš". Projekta iesniedzējs pēc projekta apstiprināšanas ir finansējuma saņēmējs.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Atlases kārtas  ietvaros atbalstāmās darbības ir dzelzceļa infrastruktūras būvniecība, kas nodrošina pilnvērtīgu integrēšanos TEN-T tīklā un energoefektivitātes uzlabošanu sabiedriskajos pasažieru pārvadājumos,  tai skaitā Eiropas transporta tīklā esošās dzelzceļa infrastruktūras modernizācija un jaunas izveide, un dzelzceļa pasažieru infrastruktūras modernizācija.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Projektos neiekļauj darbības, kas nav vērstas uz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Atlases kārtas ietvaros ir attiecināmas šādas projekta tiešās attiecināmās izmaksas, kas ir tieši saistītas ar projekta īstenošanu un nepieciešamas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attiecīgo būvspeciālistu un būvdarbu veicēju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būvdarbu ieceres dokumentācijas (tai skaitā būvprojekta un paskaidrojuma raksta pielikuma) izstrāde visām projektā paredzētajām darbībām un ar to saistīto būvekspertīžu, izpētes un atzinumu izmaksas, ja to veikšana ir priekšnosacījums būvdarbu ieceres dokumentācijas (tai skaitā būvprojekta un paskaidrojuma raksta pielikuma)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dzelzceļa infrastruktūras būvniecības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inženiertīklu infrastruktūras pārbūves izmaksas, ja būves tehniskās apsekošanas atzinumā konstatēts, ka, projekta ietvaros veicot ieguldījumus noteiktās teritorijās, nav iespējams izvairīties no minētās infrastruktūras bojāšanas vai pārbūves, bet ne vairāk kā 15 % no projekta attiecināmo izmaksu kopsummas;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videonovērošanas un apziņošanas sistēmas ierīkošanas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rodas  būvprojekta verificēšanas procesā atbilstoši normatīvajiem aktiem par Eiropas dzelzceļa sistēmu savstarpēju izmantojamību;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labiekārtošanas izmaksas atbilstoši būvprojekta risinājumam;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ar obligāto ugunsdrošības un citu drošības prasību ievērošanu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obligāto vides aizsardzības prasību nodrošināšanai paredzēto pasākumu izmaksas, ciktāl to paredz normatīvie akti vides aizsardzības jomā, tostarp ietekmes uz vidi novērtējuma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klimatisko risku izvērtējumu un nepieciešamo darbību un materiālu izvēli šo risku mazināšanai saistītās izmaksas, lai nodrošinātu pielāgošanos klimata pārmaiņām.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w:t>
      </w:r>
      <w:r w:rsidR="00000000" w:rsidRPr="00000000" w:rsidDel="00000000">
        <w:rPr>
          <w:b w:val="1"/>
          <w:rtl w:val="0"/>
        </w:rPr>
        <w:t xml:space="preserve">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minētās izmaksas kopā nepārsniedz 10 %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Pasākumu atbalstāmo darbību ietvaros ir attiecināms pievienotās vērtības nodoklis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 no finansējuma saņēmēja privātajiem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nodrošina sasniegto rezultātu ilgtspēju piecus gadus pēc projekta pabeigšanas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prasības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piekļūstamības un izmantojamības nodrošināšana (zaļais publiskais iepirkums), kur tā ir attiecināma un atbilstoša ieguldījumu specifikai, lai īstenotu sociāli atbildīgu iepirkumu.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Atlases kārtas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iestāde pēc šo noteikumu stāšanās spēkā izsludina atlases kārtu un veic projekta Nr. 6.2.1.2/22/I/002 "Dzelzceļa infrastruktūras modernizācija vilcienu kustības ātruma paaugstināšanai" vienkāršotu atlases un vērtēšanas procesu.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Sadarbības iestāde, neveicot projekta Nr. 6.2.1.2/21/I/001 "Dzelzceļa pasažieru infrastruktūras modernizācija"  atlasi, pārliecinās, ka uz finansējuma saņēmēju neattiecas Eiropas Savienības  fondu izslēgšanas kritēriji un sankciju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Sadarbības iestāde pārliecinās, ka, īstenojot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minētos projektus, netiek pārsniegts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noteiktais Kohēzijas fonda finansējums.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projektus īsteno saskaņā ar noslēgtajā līgumā par projekta īstenošanu noteikto termiņu,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nodrošina, ka pēc projektu īstenošanas projekta ietvaros radītā infrastruktūra būs vienlīdzīgi un bez diskriminācijas pieejama visiem potenciālajiem lietotājiem un par piekļuvi šai infrastruktūrai tiks noteikta adekvāta samaksa.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24-TA-1687</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24-TA-1687</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noteikumu_projekts_24-TA-1687.docx</dc:title>
</cp:coreProperties>
</file>

<file path=docProps/custom.xml><?xml version="1.0" encoding="utf-8"?>
<Properties xmlns="http://schemas.openxmlformats.org/officeDocument/2006/custom-properties" xmlns:vt="http://schemas.openxmlformats.org/officeDocument/2006/docPropsVTypes"/>
</file>