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"Energoefektivitātes paaugstināšana transporta sektorā – atbalsts elektromobiļu un to uzlādes infrastruktūras ieviešanai" TREŠĀS KĀRTAS PROJEKTA IESNIEGUMA VEIDLAPA</w:t>
      </w:r>
    </w:p>
    <w:tbl>
      <w:tblPr>
        <w:tblStyle w:val="DefaultTable"/>
        <w:bidiVisual w:val="0"/>
        <w:tblW w:w="9641.0" w:type="dxa"/>
        <w:tblInd w:w="0.0" w:type="dxa"/>
        <w:jc w:val="unse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7"/>
        <w:gridCol w:w="4613"/>
        <w:tblGridChange w:id="0">
          <w:tblGrid>
            <w:gridCol w:w="4727"/>
            <w:gridCol w:w="46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Pamatinformācija par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3"/>
        <w:gridCol w:w="3187"/>
        <w:gridCol w:w="5510"/>
        <w:tblGridChange w:id="0">
          <w:tblGrid>
            <w:gridCol w:w="493"/>
            <w:gridCol w:w="3187"/>
            <w:gridCol w:w="55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komersants (atbalsts tiek sniegts saskaņā ar Komisijas regulu Nr. 2023/2831)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sīkais (mikro)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mazais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lielais komersants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pārvaldes iestāde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kods/Juridiskās personas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M1, M2, N1 vai N2 kategorijas transportlīdzekļi* (reģistrācijas Nr.; marka, komercnosaukums,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Aizpilda komersanti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kontaktpersona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3"/>
        <w:gridCol w:w="3153"/>
        <w:gridCol w:w="5544"/>
        <w:tblGridChange w:id="0">
          <w:tblGrid>
            <w:gridCol w:w="493"/>
            <w:gridCol w:w="3153"/>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aktivitātes un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Elektromobiļu iegāde vai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Katram elektromobilim ar atšķirīgiem parametriem aizpilda atsevišķu tabulu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2"/>
        <w:gridCol w:w="5387"/>
        <w:gridCol w:w="3120"/>
        <w:tblGridChange w:id="0">
          <w:tblGrid>
            <w:gridCol w:w="682"/>
            <w:gridCol w:w="5387"/>
            <w:gridCol w:w="3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marka un komercnosaukums (atbilstoši tipa apstiprinājuma vai atbilstības sertifikāta informācijai)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ir noslēdzies iepirkums*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ražotājs vai tā oficiālā pārstāvja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ir noslēdzies iepirkums*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nobraukums starp pilnās uzlādes reizēm ir ne mazāks par 150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maksimālais ātrums ir virmaz 90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elektromobiļa viena gada nobraukums (vismaz 10 400 km)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elektromobiļa izmaksas (bez PVN),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vienam elektromobilim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elektromobilim līdzvērtīgas klases ar fosilo degvielu darbināma transportlīdzekļa vidējās iegādes izmaksas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iepirkums tiktu uzskatīts par noslēgtu, projekta iesniedzējs ir veicis iepirkuma procedūru, kuras rezultātā ar piegādātāju noslēgts līgums par Ministru kabineta 2024. gada 5. novembra noteikumu Nr. 701  17.1. apakšpunktā minētās aktivitātes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projekta iesniedzējs ir komersants, kam atbalsts tiek sniegts saskaņā ar Komisijas regulu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Elektromobiļa uzlādes infrastrukūras izveide </w:t>
      </w:r>
      <w:r w:rsidR="00000000" w:rsidRPr="00000000" w:rsidDel="00000000">
        <w:rPr>
          <w:b w:val="1"/>
          <w:i w:val="1"/>
          <w:rtl w:val="0"/>
        </w:rPr>
        <w:t xml:space="preserve">(AIZPILDA, JA PLĀNOTS ĪSTENOT ŠO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Katram uzlādes punktam ar atšķirīgiem parametriem aizpilda atsevišķu tabulu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4"/>
        <w:gridCol w:w="5409"/>
        <w:gridCol w:w="3127"/>
        <w:tblGridChange w:id="0">
          <w:tblGrid>
            <w:gridCol w:w="654"/>
            <w:gridCol w:w="5409"/>
            <w:gridCol w:w="31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punkta uzstādīšanas adrese un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 elektromobiļiem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 elektromobiļiem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w:t>
            </w:r>
            <w:r w:rsidR="00000000" w:rsidRPr="00000000" w:rsidDel="00000000">
              <w:rPr>
                <w:i w:val="1"/>
                <w:rtl w:val="0"/>
              </w:rPr>
              <w:t xml:space="preserve">(norādīt, cik elektromobiļiem)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Stāvvietai ir nodrošināta brīva publiskā piekļuve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Elektromobiļa atļautais uzturēšanās laiks stāvvietā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visu diennakti vai līdz elektromobiļa pilnai uzlādei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ierobežots </w:t>
            </w:r>
            <w:r w:rsidR="00000000" w:rsidRPr="00000000" w:rsidDel="00000000">
              <w:rPr>
                <w:i w:val="1"/>
                <w:rtl w:val="0"/>
              </w:rPr>
              <w:t xml:space="preserve">(norādīt laiku, cik ilgi elektromobilis var atrasties stāvvietā)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Pieejamā elektrotīkla 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elektriskā strāva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maiņspriegums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punkta plānotais elektroenerģijas patēriņš gadā, kWh*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uzlādes punkta izmaksas (bez PVN),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vienam uzlādes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Uzlādes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Norāda, ja ir plānots realizēt Ministru kabineta 2024. gada 5. novembra noteikumu Nr. 701  17.2. apakšpunktā minēto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Inženiertehnisko sistēmu un iekārtu izveidošana, kuras ražo enerģiju no atjaunīgajiem energoresursiem vai to uzkrāj </w:t>
      </w:r>
      <w:r w:rsidR="00000000" w:rsidRPr="00000000" w:rsidDel="00000000">
        <w:rPr>
          <w:b w:val="1"/>
          <w:i w:val="1"/>
          <w:rtl w:val="0"/>
        </w:rPr>
        <w:t xml:space="preserve">(AIZPILDA, JA PLĀNOTS ĪSTENOT ŠO AKTIVITĀTI)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3"/>
        <w:gridCol w:w="5585"/>
        <w:gridCol w:w="3082"/>
        <w:tblGridChange w:id="0">
          <w:tblGrid>
            <w:gridCol w:w="523"/>
            <w:gridCol w:w="5585"/>
            <w:gridCol w:w="30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Inženiertehniskās sistēmas uzstādīšanas adrese un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Saules paneļi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Vēja elektrostacija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 energoresursu iekārtas jauda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uzkrāšanas iekārtas ietilpība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inženiertehniskās sistēmas izmaksas (bez PVN),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attiecināmās izmaksas,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Modernizācijas fonda finansējums vienai inženiertehniskai sistēmai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Inženiertehnisko iekārtu sistēmu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Modernizācijas fonda finansējums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pilnvara, kurā persona ir pilnvarota parakstīt projekta iesniegumu un ar projekta īstenošanu saistītās aktivitātes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dokumenti, kas apliecina īpašumtiesības uz infrastruktūru, kurā paredzēts veikt ieguldījumus projekta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iesniedzēja </w:t>
      </w:r>
      <w:r w:rsidR="00000000" w:rsidRPr="00000000" w:rsidDel="00000000">
        <w:rPr>
          <w:i w:val="1"/>
          <w:rtl w:val="0"/>
        </w:rPr>
        <w:t xml:space="preserve">de minimis</w:t>
      </w:r>
      <w:r w:rsidR="00000000" w:rsidRPr="00000000" w:rsidDel="00000000">
        <w:rPr>
          <w:rtl w:val="0"/>
        </w:rPr>
        <w:t xml:space="preserve"> atbalsta sniegšanas sistēmas veidlapas izdruka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Ministru kabineta 2024. gada 5. novembra noteikumu Nr. 701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minēto aktivitāšu izmantošanas nosacījumu ievērošanu atbilstoši </w:t>
      </w:r>
      <w:r w:rsidR="00000000" w:rsidRPr="00000000" w:rsidDel="00000000">
        <w:rPr>
          <w:rtl w:val="0"/>
        </w:rPr>
        <w:t xml:space="preserve">17. </w:t>
      </w:r>
      <w:r w:rsidR="00000000" w:rsidRPr="00000000" w:rsidDel="00000000">
        <w:rPr>
          <w:rtl w:val="0"/>
        </w:rPr>
        <w:t xml:space="preserve">punkta</w:t>
      </w:r>
      <w:r w:rsidR="00000000" w:rsidRPr="00000000" w:rsidDel="00000000">
        <w:rPr>
          <w:rtl w:val="0"/>
        </w:rPr>
        <w:t xml:space="preserve"> nosacījumiem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iesnieguma iesniedzēja     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projekta iesnieguma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amata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 un projekta iesniedzējs piekrīt, ka Vides investīciju fonds minēto informāciju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nav nodokļu un valsts sociālās apdrošināšanas obligāto iemaksu parādu, kas kopsummā pārsniedz 150 euro,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par Modernizācijas fonda finansētajām attiecināmajām izmaksām nav saņemts līdzfinansējums citu finansējuma programmu ietvaros vai individuālā atbalsta projekta ietvaros, kas atbalstīts no citiem finanšu instrumentiem, tai skaitā Eiropas Savienības vai ārvalstu finanšu palīdzības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projekta iesnieguma iesniedzējs nav nonācis situācijā, kad pret to vērsta prasība par līdzekļu atgūšanu no citām valsts atbalsta programmām saskaņā ar iepriekšēju Eiropas Komisijas lēmumu, ar ko atbalsts tiek atzīts par nelikumīgu un nesaderīgu ar kopējo tirgu;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projekta iesniedzējs (uzņēmuma grupas līmenī) nav nonācis grūtībās, tai skaitā nav grūtībās nonākusi pašvaldības kapitālsabiedrība, kas atbilst vismaz vienai no Regulas Nr. 651/2014  2. panta 18. punktā paredzētajām situācijām.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Modernizācijas fonda, ja projekta iesniegums, ieskaitot šo sadaļu, nav pilnībā un kvalitatīvi aizpildīts, kā arī ja normatīvajos aktos par Modernizācijas fonda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ja nepieciešams, sabiedrība ar ierobežotu atbildību "Vides investīciju fonds" vai Klimata un enerģētikas ministrija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euro.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25-TA-2357</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noteikumu_konsolidētā_versija_p1_1_25-TA-2357.docx</dc:title>
</cp:coreProperties>
</file>

<file path=docProps/custom.xml><?xml version="1.0" encoding="utf-8"?>
<Properties xmlns="http://schemas.openxmlformats.org/officeDocument/2006/custom-properties" xmlns:vt="http://schemas.openxmlformats.org/officeDocument/2006/docPropsVTypes"/>
</file>