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13. februārī (prot. Nr. 6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uzņemties valsts budžeta ilgtermiņa saistības un īstenot projektus un pasākumus Eiropas Komisijas tieši administrētajās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Aizsardzības ministrijai uzņemties papildu valsts budžeta ilgtermiņa saistības 2026.–2028. gadā un kā vienai no starptautiska projekta partneriem īstenot Eiropas Savienības programmas "Apvārsnis Eiropa" uzsaukuma HORIZON-CL3-2024-CS-01 projektu "Quantum-Resistant Cryptography in Practice" (turpmāk – projekts).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īstenošanai nepieciešamo priekšfinansējumu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"Eiropas Savienības pētniecības un inovācijas programmas "Apvārsnis Eiropa" projektu un pasākumu īstenošana (2021–2027)".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pēc projekta noslēguma maksājuma saņemšanas nodrošināt līdzekļu ieskaitīšanu valsts pamatbudžeta ieņēmumos, lai valsts budžetā atmaksātu šā rīkojuma 2. punktā minēto priekšfinansējumu.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25-TA-3059</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25-TA-3059</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rīkojuma_projekts_25-TA-3059.docx</dc:title>
</cp:coreProperties>
</file>

<file path=docProps/custom.xml><?xml version="1.0" encoding="utf-8"?>
<Properties xmlns="http://schemas.openxmlformats.org/officeDocument/2006/custom-properties" xmlns:vt="http://schemas.openxmlformats.org/officeDocument/2006/docPropsVTypes"/>
</file>