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Valsts robežsardzes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Valsts robežsardzes likumā (Latvijas Vēstnesis, 2020, 223. nr.; 2022, 43. nr.; 2023, 125. nr.; 2024, 230.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17. panta sestajā daļā vārdu "šaujamieroci" ar vārdu "ieroci".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likumu ar 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b w:val="1"/>
          <w:rtl w:val="0"/>
        </w:rPr>
        <w:t xml:space="preserve">17.</w:t>
      </w:r>
      <w:r w:rsidR="00000000" w:rsidRPr="00000000" w:rsidDel="00000000">
        <w:rPr>
          <w:b w:val="1"/>
          <w:vertAlign w:val="superscript"/>
          <w:rtl w:val="0"/>
        </w:rPr>
        <w:t xml:space="preserve">1</w:t>
      </w:r>
      <w:r w:rsidR="00000000" w:rsidRPr="00000000" w:rsidDel="00000000">
        <w:rPr>
          <w:b w:val="1"/>
          <w:rtl w:val="0"/>
        </w:rPr>
        <w:t xml:space="preserve"> pants. Sprāgstvielas un spridzināšanas ietaises lietošana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 Par sprāgstvielas un spridzināšanas ietaises lietošanu uzskatāma mērķtiecīga iedarbība uz dzīvu būtni vai objektu. Robežsargam ir tiesības lietot sprāgstvielu un spridzināšanas ietaisi galējās nepieciešamības situācijā, lai: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1) atvairītu bruņotu vai militāru iebrukumu Latvijas Republikas teritorijā;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2) atvairītu grupveida vai bruņotu uzbrukumu, kurā tiek izmantots ierocis, kaujas tehnika vai transportlīdzeklis;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3) atbrīvotu bruņotas personas ieņemtu objektu, kas atrodas Valsts robežsardzes valdījumā vai turējumā, iznīcinātu nocietinājumu vai iekļūtu objektā, kurā tiek veikta personas dzīvību vai veselību apdraudoša darbība.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 Robežsargam ir tiesības lietot sprāgstvielu un spridzināšanas ietaisi, nebrīdinot par nodomu to darīt.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(3) Sprāgstvielas un spridzināšanas ietaises lietošanai jābūt nepieciešamai un samērīgai, maksimāli ierobežojot tās nodarīto kaitējumu, kā arī, ja nepieciešams, nekavējoties nodrošinot pirmās palīdzības sniegšanu un neatliekamās medicīniskās palīdzības izsaukšanu."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ministra pienākumu izpildītāja ‒ 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24-TA-688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24-TA-688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likumprojekts_(grozījumi)_24-TA-688.docx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