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Ēku energoefektivitātes likuma</w:t>
      </w:r>
      <w:r>
        <w:br/>
      </w:r>
      <w:r w:rsidR="00000000" w:rsidRPr="00000000" w:rsidDel="00000000">
        <w:rPr>
          <w:rStyle w:val="paragraph"/>
          <w:i w:val="1"/>
          <w:rtl w:val="0"/>
        </w:rPr>
        <w:t xml:space="preserve">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10. decembra noteikumos Nr. 730 "Ekspluatējamu ēku energoefektivitātes minimālās prasības" (Latvijas Vēstnesis, 2020, 242. nr.; 2025, 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tas ir tehniski piemēroti, ekonomiski un funkcionāli īstenojami, tad nedzīvojamas ēkas tiek aprīkotas ar pašregulējošām ierīcēm gaisa temperatūras, relatīvā gaisa mitruma un gaisa apmaiņas (cirkulācijas) plūsmas ātruma atsevišķai regulēšanai katrā telpā (vides kvalitātes monitoringa sistēma) vai, ja tas ir pamatoti, telpu grupā, ja tiek mainīta ēkas apkures sistēmas daļa, kas ražo siltumenerģiju (siltumģenerators)."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piemēroti, ekonomiski un funkcionāli īstenojami, nodrošina automātisku apgaismojuma vadības ierīču uzstādīšanu."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9.</w:t>
      </w:r>
      <w:r w:rsidR="00000000" w:rsidRPr="00000000" w:rsidDel="00000000">
        <w:rPr>
          <w:vertAlign w:val="superscript"/>
          <w:rtl w:val="0"/>
        </w:rPr>
        <w:t xml:space="preserve">1</w:t>
      </w:r>
      <w:r w:rsidR="00000000" w:rsidRPr="00000000" w:rsidDel="00000000">
        <w:rPr>
          <w:rtl w:val="0"/>
        </w:rPr>
        <w:t xml:space="preserve"> punktā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Publiskās personas iestādes ēkās nodrošina piemērotu saules enerģijas iekārtu uzstādīšanu, ja tas ir tehniski piemēroti, ekonomiski un funkcionāli īstenojami."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10.</w:t>
      </w:r>
      <w:r w:rsidR="00000000" w:rsidRPr="00000000" w:rsidDel="00000000">
        <w:rPr>
          <w:vertAlign w:val="superscript"/>
          <w:rtl w:val="0"/>
        </w:rPr>
        <w:t xml:space="preserve">1</w:t>
      </w:r>
      <w:r w:rsidR="00000000" w:rsidRPr="00000000" w:rsidDel="00000000">
        <w:rPr>
          <w:rtl w:val="0"/>
        </w:rPr>
        <w:t xml:space="preserve"> punktā noteikto pienākumu publiskās personas iestādes ēkās nodrošināt piemērotu saules enerģijas iekārtu uzstādīšanu izpilda līdz 2027. gada 31. decembrim attiecībā uz ēkām, kuru lietderīgā grīdas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lietderīgā grīdas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lietderīgā grīdas platība pārsniedz 250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tiešsaisti ar ēkas inženiertehnisko sistēmu un spēju veikt funkcijas neatkarīgi no inženiertehniskās sistēmas sastāvdaļu ražotāja;".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iekštelpu vides kvalitātes monitoringu."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velosipēdu stāvvietas, kas veido vismaz 15 % no ēkas vidējās lietotāju kapacitātes vai 10 % no kopējās lietotāju kapacitātes, paredzot vietu arī lielāka izmēra velosipēdiem nekā standarta velosipēdi."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12.2. apakšpunktā noteiktā prasība par vietu skaitu velosipēdu stāvvietā neattiecas uz tām nedzīvojamām ēkām, kurām parasti ar velosipēdu nepiekļūst."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publiskās personas iestādes īpašumā, ierīko kabeļus vismaz 50 % automašīnu stāvvietām."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12. punktu nepiemēro līdz 2029. gada 1. janvārim attiecībā uz nedzīvojamajām ēkām, kas ir atjaunotas no 2022. gada 28. maija līdz 2024. gada 28. maijam."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informatīvo atsauci uz Eiropas Savienības direktīvām ar 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Eiropas Parlamenta un Padomes 2024. gada 24. aprīļa Direktīvas (ES) 2024/1275 par ēku energosniegumu (pārstrādāta redakcija)."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26-TA-329</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26-TA-329</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noteikumu_(grozījumu)_projekts_26-TA-329.docx</dc:title>
</cp:coreProperties>
</file>

<file path=docProps/custom.xml><?xml version="1.0" encoding="utf-8"?>
<Properties xmlns="http://schemas.openxmlformats.org/officeDocument/2006/custom-properties" xmlns:vt="http://schemas.openxmlformats.org/officeDocument/2006/docPropsVTypes"/>
</file>