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1.3.1. specifiskā atbalsta mērķa "Izmantot digitalizācijas priekšrocības iedzīvotājiem, uzņēmumiem, pētniecības organizācijām un publiskajām iestādēm" 1.3.1.2. pasākumu "Inovācijas laboratorija digitalizācijas priekšrocību izmantošanai"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kopējais pieejamais finansējums ir 1 287 968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1 094 772 </w:t>
      </w:r>
      <w:r w:rsidR="00000000" w:rsidRPr="00000000" w:rsidDel="00000000">
        <w:rPr>
          <w:i w:val="1"/>
          <w:rtl w:val="0"/>
        </w:rPr>
        <w:t xml:space="preserve">euro</w:t>
      </w:r>
      <w:r w:rsidR="00000000" w:rsidRPr="00000000" w:rsidDel="00000000">
        <w:rPr>
          <w:rtl w:val="0"/>
        </w:rPr>
        <w:t xml:space="preserve"> un valsts budžeta līdzfinansējums – 193 196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kopējā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valsts pārvaldes inovācijas ekosistēmas un vienota eksperimentēšanas ietvara attīstīšana, nodrošinot, ka jaunveidojamās valsts pārvaldes un pašvaldību koplietošanas platformas, kā arī citi šī specifiskā atbalsta mērķa ietvaros izveidotie vai pilnveidotie risinājumi tiek attīstīti, izmantojot inovatīvas tehnoloģijas un pieejas, tai skaitā inovācijas laboratorijas pakalpojumus, fokusējoties uz uzņēmumu attīstības vajadzībām un galveno uzmanību veltot pakalpojuma lietotājam.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publiskā sektora iestādes, kas uzlabo esošos vai attīsta jaunus digitālos pakalpojumus, produktus un procesus.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 gada 31. decembrim sasniedzams šāds iznākuma rādītājs – publiskā sektora iestādes, kas atbalstītas digitālo pakalpojumu, produktu un procesu izstrādei, – 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iznākuma rādītājs ir sasniegts, ja vismaz 20 publiskā sektora pakalpojumu, produktu un procesu pārveidei ir organizēts pilnveides dizaina domāšanas </w:t>
      </w:r>
      <w:r w:rsidR="00000000" w:rsidRPr="00000000" w:rsidDel="00000000">
        <w:rPr>
          <w:i w:val="1"/>
          <w:rtl w:val="0"/>
        </w:rPr>
        <w:t xml:space="preserve">sprints</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atlasē, un pasākuma atbalsts tiek sniegts granta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kanceleja kā digitālo pakalpojumu pilnveides dizaina domāšanas </w:t>
      </w:r>
      <w:r w:rsidR="00000000" w:rsidRPr="00000000" w:rsidDel="00000000">
        <w:rPr>
          <w:i w:val="1"/>
          <w:rtl w:val="0"/>
        </w:rPr>
        <w:t xml:space="preserve">sprintu </w:t>
      </w:r>
      <w:r w:rsidR="00000000" w:rsidRPr="00000000" w:rsidDel="00000000">
        <w:rPr>
          <w:rtl w:val="0"/>
        </w:rPr>
        <w:t xml:space="preserve">organizētājs un standartizētās metodikas nodrošinātājs.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inovācijas laboratorijas darbības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publisko pakalpojumu dizaina izstrāde inovācijas laboratorijas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inovācijas laboratorijas darbības attīstīšana;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starpsektoru inovāciju prototipu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ekspertu piesaiste;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digitālo dizaineru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personāla atlīdzības izmaksas, kuras ir šo noteikumu </w:t>
      </w:r>
      <w:r w:rsidR="00000000" w:rsidRPr="00000000" w:rsidDel="00000000">
        <w:rPr>
          <w:rtl w:val="0"/>
        </w:rPr>
        <w:t xml:space="preserve">13.2.</w:t>
      </w:r>
      <w:r w:rsidR="00000000" w:rsidRPr="00000000" w:rsidDel="00000000">
        <w:rPr>
          <w:rtl w:val="0"/>
        </w:rPr>
        <w:t xml:space="preserve"> apakšpunktā minētās atbalstāmās darbības attiecināmās izmaksas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projekta iesniegumā plāno kā vienu izmaksu pozīciju, piemērojot izmaksu vienoto likmi 20 % apmērā no pārējām šo noteikumu </w:t>
      </w:r>
      <w:r w:rsidR="00000000" w:rsidRPr="00000000" w:rsidDel="00000000">
        <w:rPr>
          <w:rtl w:val="0"/>
        </w:rPr>
        <w:t xml:space="preserve">15.2.</w:t>
      </w:r>
      <w:r w:rsidR="00000000" w:rsidRPr="00000000" w:rsidDel="00000000">
        <w:rPr>
          <w:rtl w:val="0"/>
        </w:rPr>
        <w:t xml:space="preserve"> apakšpunktā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tiešās attiecināmās īstenošanas izmaksas, kuras ir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darbību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inovācijas laboratorijas darbības pasākumu organizēšanu un īstenošanu saistītās izmaksas, tai skaitā mācības, semināri, pieredzes apmaiņa un lektoru, ekspertu, konsultantu un moderatoru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juridiskās un faktiskās uzturēšanās adreses);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nomas, indukcijas cilpu nomas,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 Netiešās attiecināmās izmaksas plāno kā vienu izmaksu pozīciju, piemērojot netiešo izmaksu vienoto likmi 7 procentu apmērā no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regulas Nr.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Izmaksas ir attiecināmas no projekta iesnieguma iesniegšanas brīža. Projekta iesniegumā neiekļauj jau pabeigtu darbību izmaksas un finansējumu par tām nepiešķir.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projektu, nodrošina komunikācijas un vizuālās identitātes prasību nosacījumu ievērošanu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savā tīmekļvietnē ievieto aktuālo informāciju par projekta īstenošanu, tai skaitā publisko projekta ietvaros organizēto inovācijas laboratorijas sprintu rezultātus.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publiskos 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iznākuma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vienlīdzību, iekļaušanu, nediskrimināciju un pamattiesību ievērošanu, kā arī rādītāju uzkrāšanu un ziņošanu;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investīcijām viedās specializācijas stratēģijas (RIS3) jomās un saistītajās jomās (ja attiecināms), informāciju ievadot Kohēzijas politikas fondu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interešu konflikta neesību.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26-TA-1417</w:t>
    </w:r>
    <w:r>
      <w:br/>
    </w:r>
    <w:r w:rsidR="00000000" w:rsidRPr="00000000" w:rsidDel="00000000">
      <w:rPr>
        <w:rtl w:val="0"/>
      </w:rPr>
      <w:t xml:space="preserve">Izdrukāts 25.08.2026. 12.57 - 1.0.VK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26-TA-1417</w:t>
    </w:r>
    <w:r>
      <w:br/>
    </w:r>
    <w:r w:rsidR="00000000" w:rsidRPr="00000000" w:rsidDel="00000000">
      <w:rPr>
        <w:rtl w:val="0"/>
      </w:rPr>
      <w:t xml:space="preserve">Izdrukāts 25.08.2026. 12.57 - 1.0.VK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noteikumu_konsolidētā_versija_26-TA-1417.docx</dc:title>
</cp:coreProperties>
</file>

<file path=docProps/custom.xml><?xml version="1.0" encoding="utf-8"?>
<Properties xmlns="http://schemas.openxmlformats.org/officeDocument/2006/custom-properties" xmlns:vt="http://schemas.openxmlformats.org/officeDocument/2006/docPropsVTypes"/>
</file>