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otrās kārtas "Atbalsta pasākumi cilvēkiem ar invaliditāti mājokļu vides pieejamības nodrošināšanai"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pasākuma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pasākuma mērķa grupas atlasei;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sasniedzamos atskaites punktus un mērķrādītāju;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un 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vai vienošanās par projekta īstenošanu (turpmāk – līgums) saturu, slēgšanas un grozīšanas kārtību, tai skaitā līguma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atbalstu mājokļu pielāgošanai personām ar invaliditāti, kurām ir kustību traucējumi, uzlabot nodarbinātības iespējas un pieejamību pakalpojumiem, tādējādi sekmējot dzīves kvalitāti un cilvēktiesību ievērošanu.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Mājoklis šo noteikumu izpratnē ir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personas vai pirmās vai otrās pakāpes radinieka īpašumā vai lietošanā (īrēts) esošs nekustamais īpašums (dzīvojamā māja vai tās daļa, dzīvokļa īpašums vai tā daļa), kurā mērķa grupas persona ir deklarējusi savu dzīvesvietu.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kuras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brīdī ir personas ar invaliditāti un kustību traucējumiem vecumā no 15 līdz 17 gadiem (ieskaitot), kā arī pilngadīgas personas ar I vai II invaliditātes grupu un kustību traucējumiem, kuras nav sasniegušas vecuma pensijas piešķiršanai nepieciešamo vecumu atbilstoši likumam "Par valsts pensijām" vai kuras ir sasniegušas šo vecumu un ir obligāti sociāli apdrošinātas personas (darba ņēmēji, pašnodarbinātie) (turpmāk visas kopā – mērķa grupas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īsteno reformu 3.1.2.r. "Sociālo un nodarbinātības pakalpojumu pieejamība minimālo ienākumu reformas atbalstam", kuras mērķis ir nodrošināt augstam sociālās atstumtības riskam pakļautajiem iedzīvotājiem, kuriem ir ierobežoti finanšu resursi, pieeju būtiski nepieciešamajiem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martam – konkrētas mērķa grupas izvēle mājokļa fiziskās pieejamības uzlabošanai;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martam – iepirkumu līgumu noslēgšana personu ar invaliditāti mājokļu vides pieejamības pasākumu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mērķrādītājs – līdz 2026. gada 30. jūnijam nodrošināta pieejamība mājokļa videi 259 personām ar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Atskaites punktu un mērķrādītāja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sagatavots anonimizēts atbalsta saņēmēju saraksts un lēmuma kopija par personas iekļaušanu mērķa grupas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personu atlases kritēriju izraksts;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informācija par noslēgtajiem iepirkumu līgumiem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mājokļu vides pielāgošanai un šo līgumu kopijas;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kurā ietverta informācija par plānotajiem mājokļu vides pielāgošanas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apliecinājuma kopija par iepirkumu līgumā plānoto darbu pabeigšanu mājokļu pielāgošanai;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mājokļos nodrošinātajiem vides pielāgojumiem.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Atveseļošanas fonda finansējums ir 4 812 637 </w:t>
      </w:r>
      <w:r w:rsidR="00000000" w:rsidRPr="00000000" w:rsidDel="00000000">
        <w:rPr>
          <w:i w:val="1"/>
          <w:rtl w:val="0"/>
        </w:rPr>
        <w:t xml:space="preserve">euro</w:t>
      </w:r>
      <w:r w:rsidR="00000000" w:rsidRPr="00000000" w:rsidDel="00000000">
        <w:rPr>
          <w:rtl w:val="0"/>
        </w:rPr>
        <w:t xml:space="preserve">. Papildus pasākuma finansējumu veido valsts budžeta finansējums pievienotās vērtības nodokļa segšanai indikatīvi 1 006 101 </w:t>
      </w:r>
      <w:r w:rsidR="00000000" w:rsidRPr="00000000" w:rsidDel="00000000">
        <w:rPr>
          <w:i w:val="1"/>
          <w:rtl w:val="0"/>
        </w:rPr>
        <w:t xml:space="preserve">euro</w:t>
      </w:r>
      <w:r w:rsidR="00000000" w:rsidRPr="00000000" w:rsidDel="00000000">
        <w:rPr>
          <w:rtl w:val="0"/>
        </w:rPr>
        <w:t xml:space="preserve">, kā arī pašvaldības budžeta finansējums un privātais finansējums, ja projekta izmaksas pārsniedz pieejamo Atveseļošanas fonda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īstenošanai viena mājokļa vides pieejamības nodrošināšanas vidējās izmaksas nepārsniedz 18 299 </w:t>
      </w:r>
      <w:r w:rsidR="00000000" w:rsidRPr="00000000" w:rsidDel="00000000">
        <w:rPr>
          <w:i w:val="1"/>
          <w:rtl w:val="0"/>
        </w:rPr>
        <w:t xml:space="preserve">euro</w:t>
      </w:r>
      <w:r w:rsidR="00000000" w:rsidRPr="00000000" w:rsidDel="00000000">
        <w:rPr>
          <w:rtl w:val="0"/>
        </w:rPr>
        <w:t xml:space="preserve">, neieskaitot pievienotās vērtības nodokļa izmaksas. Projekta iesniedzējs var pārdalīt kopējo Atveseļošanas fonda finansējumu starp mājokļiem, atkāpjoties no Atveseļošanas fonda finansējuma apmēra vienam mājoklim, bet nepārsniedzot kopējo projekta iesniedzējam pieejamo Atveseļošanas fonda finansējuma kopsummu un nemainot projektā paredzēto mērķa grupas personu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kas pēc līguma noslēgšanas ir finansējuma saņēmējs, ir pašvaldība, pašvaldības iestāde, pašvaldības kapitālsabiedrība vai pašvaldības kontrolēta kapitālsabiedrība, kas nodrošina nekustamo īpašumu pārvaldīšanu un apsaimniekošanu vai sociālo pakalpojumu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projektā iekļauj pašvaldības administratīvajā teritorijā deklarētu mērķa grupas personu mājokļus.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var iesniegt projektu par tādu mērķa grupas personu skaitu, kurām attiecīgajā pašvaldībā sniedzams atbalsts, kāds ir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(turpmāk – pašvaldības kvota).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Mērķa grupas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Mērķa grupas personu atlasi dalībai pasākumā nodrošina pašvaldības sociālais dienests. Ja nepieciešams, pašvaldības sociālais dienests pieprasa Veselības un darbspēju ekspertīzes ārstu valsts komisijai mērķa grupas personu kontaktinformāciju un ziņas par deklarēto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Mērķa grupas personu atlasi dalībai pasākumā pašvaldības sociālais dienests organizē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mērķa grupas personas vai mērķa grupas personas likumiskā vai pilnvarotā pārstāvja aizpildītu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Iesniegums satur mājokļa īpašnieka pilnvarojumu projekta iesniedzējam vai finansējuma saņēmējam veikt visas nepieciešamas darbības, tai skaitā būvniecību, mājokļa vides pieejamības nodrošināšanai, un tam ir pievienoti mērķa grupas personas dokumenti, kā arī dokumenti, kas apliecina mājokļa atbilstību dalībai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minētos dokumentus un, ņemot vērā vadlīnijas kritēriju piemērošanai mērķa grupas personas un tās mājokļa atbilstības noteikšanai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pārliecinās par mērķa grupas personas un tās mājokļa atbilstību un sagatavo mērķa grupas personas un tās mājokļa atbilstības izvērtējumu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laikā konstatē, ka tajos ir sniegta nepilnīga vai neskaidra informācija vai publiskajos reģistros nav pieejama nepieciešamā informācija, lūdz mērķa grupas personu vai mērķa grupas personas likumisko vai pilnvaroto pārstāvi iesniegt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organizē mērķa grupas personas mājokļa apsekošanu, piesaistot ergoterapeitu, kurš sniedz atzinumu par mērķa grupas personai nepieciešamajiem mājokļa pielāgojumiem, un, ja nepieciešams, būvspeciālistu, kurš pārliecinās, vai mājoklī nav veikta nelikumīga pārbūve vai netiek skartas mājokļa nesošās sienas, un sagatavo atzinumu par iespējamiem risinājumiem mājokļa pielāgošanai;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mērķa grupas personu skaits pārsniedz pašvaldības kvotu vai pēc ministrijas informācijas saņemšanas par pārdalīto pašvaldības papildu kvotu mērķa grupas pretendentu skaits ir lielāks nekā papildus pieejamā kvota: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komisiju, kuras sastāvā iekļauj vismaz vienu pārstāvi no pašvaldības sociālā dienesta un biedrības vai nodibinājuma, kas darbojas personu ar invaliditāti interešu aizstāvības jomā, ergoterapeitu, kā arī, ja nepieciešams, iesaista citus speciālistus;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veic mērķa grupas personas un tās mājokļa atbilstības izvērtējumu, piemērojot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noteiktos papildu kritērijus, un sagatavo atzinumu par mērķa grupas personas iekļaušanu pasākumā vai arī izslēgšanu no turpmākas dalības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mērķa grupas personas iekļaušanu pasākumā vai atteikumu iekļaut personu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Pašvaldības sociālais dienests pieņem lēmumu par mērķa grupas personas izslēgšanu no turpmākas dalības pasākumā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grupas persona vai tās mājoklis neatbilst vismaz vienam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minētajam kritērijam;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16.5.2.</w:t>
      </w:r>
      <w:r w:rsidR="00000000" w:rsidRPr="00000000" w:rsidDel="00000000">
        <w:rPr>
          <w:rtl w:val="0"/>
        </w:rPr>
        <w:t xml:space="preserve"> apakšpunktā</w:t>
      </w:r>
      <w:r w:rsidR="00000000" w:rsidRPr="00000000" w:rsidDel="00000000">
        <w:rPr>
          <w:rtl w:val="0"/>
        </w:rPr>
        <w:t xml:space="preserve"> minētā komisija ir sniegusi atzinumu par mērķa grupas personas izslēgšanu no dalības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par personas iekļaušanu pasākumā projekta iesniedzējs vai finansējuma saņēmējs izveido anonimizētu to mērķa grupas personu sarakstu, kuras atbilst pasākuma mērķa grupas personu un mājokļu atbilstības nosacījumiem, un aktualizē sarakstu, ja tajā veic izmaiņas.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mērķa grupas personu skaits ir mazāks vai lielāks par pašvaldībai noteikto kvotu, projekta iesniedzējs vai finansējuma saņēmējs informē ministriju un ministrija organizē pašvaldības kvotu pārdali starp pašvaldībām, nepārsniedzot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personu skaitu. Pēc pašvaldību kvotu pārdales projekta iesniedzējs iesniedz precizējumus projekta veidlapā un tās pielikumos (turpmāk – projekta veidlapa) šo noteikumu </w:t>
      </w:r>
      <w:r w:rsidR="00000000" w:rsidRPr="00000000" w:rsidDel="00000000">
        <w:rPr>
          <w:rtl w:val="0"/>
        </w:rPr>
        <w:t xml:space="preserve">26.3.3.</w:t>
      </w:r>
      <w:r w:rsidR="00000000" w:rsidRPr="00000000" w:rsidDel="00000000">
        <w:rPr>
          <w:rtl w:val="0"/>
        </w:rPr>
        <w:t xml:space="preserve"> apakšpunktā</w:t>
      </w:r>
      <w:r w:rsidR="00000000" w:rsidRPr="00000000" w:rsidDel="00000000">
        <w:rPr>
          <w:rtl w:val="0"/>
        </w:rPr>
        <w:t xml:space="preserve"> noteiktajā kārtībā vai, ja noslēgts līgums, finansējuma saņēmējs un aģentūra veic projekta grozījumus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pasākumā ir pieejams Atveseļošanas fonda finansējums, ministrija var piešķirt papildu kvotas pašvaldībām un paredzēt mājokļa pielāgošanu vairāk nekā 259 mērķa grupas personām.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un publicitātes prasību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sagatavošanu un iesniegšanu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mājokļa ārējās un iekšējās vides pielāgošana mērķa grupas personas vajadzībām, tai skaitā būvniecības darbi vides pieejamības nodrošināšanai, kā arī vides pieejamības tehnoloģiju, iekārtu, aprīkojuma un cita materiāltehniskā nodrošinājuma iegāde, piegāde un montāža;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būvekspertīze, būvuzraudzība un autoruzraudzība;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konsultācijas.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ietvaros plāno šādas izmaksas, kas ir saistītas 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darbības ietver projekta vadības un īstenošanas personāla atlīdzības izmaksas, kas radušās uz darba līguma vai rīkojuma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tai skaitā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ja projekta vadības un īstenošanas personālu piesaista uz iepirkuma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plāno kā vienu izmaksu pozīciju 15 procentu apmērā no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w:t>
      </w:r>
      <w:r w:rsidR="00000000" w:rsidRPr="00000000" w:rsidDel="00000000">
        <w:rPr>
          <w:color w:val="#f1c40f"/>
          <w:rtl w:val="0"/>
        </w:rPr>
        <w:t xml:space="preserve"> </w:t>
      </w:r>
      <w:r w:rsidR="00000000" w:rsidRPr="00000000" w:rsidDel="00000000">
        <w:rPr>
          <w:rtl w:val="0"/>
        </w:rPr>
        <w:t xml:space="preserve">izmaksu (kas nav projekta vadības un īstenošanas personāla atlīdzības) Atveseļošanas fonda finansējuma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izmaksas ir attiecināmas no 2023. gada 1. janvāra.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mērķa grupas persona pārtrauc dalību pasākumā vai rodas no finansējuma saņēmēja neatkarīgi apstākļi, kuru dēļ nav iespējams pabeigt mājokļa pielāgojumus, veiktās mājokļa vides pielāgojumu izmaksas sedz no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finansējuma, bet mērķa grupas personai veiktos mājokļa vides pielāgojumus neieskaita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norādītajā mērķrādītājā.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atbalstāmo darbību izmaksas, kuru īstenošana pabeigta līdz 2022.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kuras iekļauj projektā kā valsts budžeta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atbalstāmo darbību īstenošanas laikā un pārsniedz līgumā noteikto projekta Atveseļošanas fonda finansējuma apmēru. Minētās izmaksas projektā iekļaujamas kā pašvaldības budžeta finansējums, ja to paredz pašvaldības saistošie noteikumi, vai privātais finansējums, un ja šīs izmaksas ir tieši saistītas ar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atskaites punkta un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atbilst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Pasākuma īstenošanas un uzraudzības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projekta īstenošanai un uzraudzībai nepieciešamo informāciju projekta iesniedzējs vai finansējuma saņēmējs, ministrija un Centrālā finanšu un līgumu aģentūra (turpmāk – aģentūra) iesniedz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nosūta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pašvaldībām uzaicinājumu iesniegt projekta iesnieguma veidlapu un tās pielikumus (turpmāk – projekta veidlapa), kā arī informē aģentūru par ministrijas nosūtītajiem uzaicinājumiem un aicina aģentūru veikt šo noteikumu </w:t>
      </w:r>
      <w:r w:rsidR="00000000" w:rsidRPr="00000000" w:rsidDel="00000000">
        <w:rPr>
          <w:rtl w:val="0"/>
        </w:rPr>
        <w:t xml:space="preserve">26.3.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minētās darbības. Uzaicinājumā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attiecināmos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minētos atskaites punktus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mērķrādītāju;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pieejamo pašvaldības kvotu;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pieejamo Atveseļošanas fonda finansējuma apmēru, aprēķinā ņemot vērā projekta iesniedzējam pieejamo pašvaldības kvotu un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izmaksas viena mājokļa vides pielāgošanai;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pieejamos norādījumus projekta veidlapas aizpildīšanai;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līdz 2024. gada 16. aprīlim iesniedz vienu projekta veidlapu par visiem mājokļiem, kuros plānots nodrošināt vides pielāgošanu attiecīgajā pašvaldībā, un pievieno anonimizēto mērķa grupas personu sarakstu, kā arī lēmuma kopiju par mērķa grupas personas iekļaušanu šajā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sadarbībā ar ministriju veic šādas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darbdienu laikā pēc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minētās projekta veidlapas saņemšanas pārliecinās, ka uz projekta iesniedzēju un, ja attiecināms, tā valdes vai padomes locekli vai prokūristu nav attiecināmi Eiropas Parlamenta un Padomes 2024. gada 23. septembra Regulas (ES, Euratom) 2024/2509 par finanšu noteikumiem, ko piemēro Savienības vispārējam budžetam (pārstrādāta redakcija), 61. pantā noteiktie izslēgšanas kritēriji (turpmāk – izslēgšanas kritēriji), kā arī pārliecinās, ka projekta veidlapa atbilst šo noteikumu </w:t>
      </w:r>
      <w:r w:rsidR="00000000" w:rsidRPr="00000000" w:rsidDel="00000000">
        <w:rPr>
          <w:rtl w:val="0"/>
        </w:rPr>
        <w:t xml:space="preserve">26.1.</w:t>
      </w:r>
      <w:r w:rsidR="00000000" w:rsidRPr="00000000" w:rsidDel="00000000">
        <w:rPr>
          <w:rtl w:val="0"/>
        </w:rPr>
        <w:t xml:space="preserve"> apakšpunktā</w:t>
      </w:r>
      <w:r w:rsidR="00000000" w:rsidRPr="00000000" w:rsidDel="00000000">
        <w:rPr>
          <w:rtl w:val="0"/>
        </w:rPr>
        <w:t xml:space="preserve"> minētajā uzaicinājumā iekļautajai informācijai un šo noteikumu nosacījumiem, izņemot mērķa grupas atbilstības pārbaudi;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minēto darbību veikšanas un prasību izpildes nosūta līgumu parakstīšanai;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minētajām prasībām vai ministrija ir nosūtījusi projekta iesniedzējam un aģentūrai informāciju par kvotu pārdali;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atbilst kādam no izslēgšanas kritērijiem vai ja projekta iesniedzējs nav precizējis projekta veidlapu vai nav to iesniedzis aģentūras norādītajā termiņā, informē projekta iesniedzēju, ka līgums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15; MK 18.06.2024. noteikumiem Nr. 385)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projektam pieejamo Atveseļošanas fonda finansējuma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laikposmu, kurā veiktās izmaksas var uzskatīt par attiecināmām;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nosacījumus, tai skaitā dokumentu iesniegšanai un izskatīšanai, informācijas un publicitātes prasību nodrošināšanai, atskaites punktu un mērķrādītāja pamatošanai, pārbaužu veikšanai un datu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rīcību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nosacījumus aģentūras vienpusējam līguma uzteikumam.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10 darbdienu laikā pēc līguma noslēgšanas iesniedz aģentūrā šādu dokumentāciju: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maksājuma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31.10.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Pieprasījumā pamato avansa maksājuma nepieciešamību un apmēru. Avansa maksājumu var pieprasīt veikt vairākos maksājumos, nākamo avansa daļu izmaksājot pēc tam, kad iepriekšējā ir apgūta pilnā apmērā. Avansa maksājuma kopsumma nedrīkst pārsniegt 50 procentus no projekta Atveseļošanas fonda un valsts budžeta finansējuma kopējā apmēra. Avansa maksājums vai avansa maksājuma daļa ir jāapgūst sešu mēnešu laikā no tā saņemšanas dienas saimnieciskā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29.1.1.</w:t>
      </w:r>
      <w:r w:rsidR="00000000" w:rsidRPr="00000000" w:rsidDel="00000000">
        <w:rPr>
          <w:rtl w:val="0"/>
        </w:rPr>
        <w:t xml:space="preserve"> apakšpunktā</w:t>
      </w:r>
      <w:r w:rsidR="00000000" w:rsidRPr="00000000" w:rsidDel="00000000">
        <w:rPr>
          <w:rtl w:val="0"/>
        </w:rPr>
        <w:t xml:space="preserve"> minēto avansa maksājuma pieprasījumu un, ja aģentūrai nav iebildumu pret avansa maksājuma pamatojumu, veic avansa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 Pirmo pieprasījumu starpposma maksājumam iesniedz, pamatojot 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sasniegšanu, tai skaitā ietverot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29.2.1.</w:t>
      </w:r>
      <w:r w:rsidR="00000000" w:rsidRPr="00000000" w:rsidDel="00000000">
        <w:rPr>
          <w:rtl w:val="0"/>
        </w:rPr>
        <w:t xml:space="preserve"> apakšpunktā</w:t>
      </w:r>
      <w:r w:rsidR="00000000" w:rsidRPr="00000000" w:rsidDel="00000000">
        <w:rPr>
          <w:rtl w:val="0"/>
        </w:rPr>
        <w:t xml:space="preserve"> minēto starpposma maksājuma pieprasījumu un, ja aģentūrai nav iebildumu pret starpposma maksājuma pamatojumu, veic starpposma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noslēguma maksājumam. Pieprasījumā pamato projektā faktiski veiktās izmaksas, to apmēru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tai skaitā ietverot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29.3.1.</w:t>
      </w:r>
      <w:r w:rsidR="00000000" w:rsidRPr="00000000" w:rsidDel="00000000">
        <w:rPr>
          <w:rtl w:val="0"/>
        </w:rPr>
        <w:t xml:space="preserve"> apakšpunktā</w:t>
      </w:r>
      <w:r w:rsidR="00000000" w:rsidRPr="00000000" w:rsidDel="00000000">
        <w:rPr>
          <w:rtl w:val="0"/>
        </w:rPr>
        <w:t xml:space="preserve"> minēto noslēguma maksājuma pieprasījumu un, ja aģentūrai nav iebildumu pret maksājuma pamatojumu, veic noslēguma maksājumu, ko veido starpība starp projekta Atveseļošanas fonda finansējuma un valsts budžeta finansējuma apmēru un avansa maksājuma un starpposma maksājumu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maksājumu kopsumma nedrīkst pārsniegt 90 procentus no projekta Atveseļošanas fonda finansējuma un valsts budžeta finansējuma kopsummas.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 tai skaitā slēdzot iepirkumu līgumus: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īstenošanā nodrošina informācijas un vides pieejamību, atšķirīgas attieksmes aizlieguma ievērošanu personas vecuma, dzimuma, reliģiskās, politiskās vai citas pārliecības, seksuālās orientācijas, invaliditātes, rases vai etniskās piederības dēļ un vienlīdzīgu iespēju principu ievērošanu, kā arī nodrošina pasākumu īstenošanu, kas sekmē darba un ģimenes dzīves saskaņošanu, paredzot attālināta darba laika iespēju un nepilna laika darba iespēju radīšanu vecākiem ar bērniem, kā arī sievietēm un vīriešiem nodrošina vienādu samaksu par vienādas vērtības darbu;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w:t>
      </w:r>
      <w:r w:rsidR="00000000" w:rsidRPr="00000000" w:rsidDel="00000000">
        <w:rPr>
          <w:rtl w:val="0"/>
        </w:rPr>
        <w:t xml:space="preserve"> minētās atbalstāmās darbības ietvaros var piesaistīt vides pieejamības ekspertus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un </w:t>
      </w:r>
      <w:r w:rsidR="00000000" w:rsidRPr="00000000" w:rsidDel="00000000">
        <w:rPr>
          <w:rtl w:val="0"/>
        </w:rPr>
        <w:t xml:space="preserve">20.5.</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minētās atbalstāmās darbības ietvaros veic tādus mājokļa iekšējās un ārējās vides pielāgošanas pasākumus (tai skaitā ja tiek veikta būvniecība, tad atbilstoši būvniecības jomu regulējošajos normatīvajos aktos noteiktajiem vides pieejamības principiem), kas tieši saistīti ar mērķa grupas personas mājokļa iekšējās vai ārējās vides, tai skaitā koplietošanas telpu grupas, pieejamību.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dubultfinansēšanas riskus un nodrošina, ka projekta ietvaros paredzētais mājokļa vides pielāgojums konkrētai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mērķa grupas personai pēdējo piecu gadu laikā nav finansēts, netiek finansēts vai līdzfinansēts, kā arī to nav plānots finansēt vai līdzfinansēt no citiem valsts, pašvaldības vai ārvalstu finanšu palīdzības instrumentiem;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atbalstāmo darbību īstenošanai nepieciešamo personālu vai īstenojot publiskos iepirkumus projekta īstenošanas laikā, nodrošina interešu konflikta, korupcijas un krāpšanas novēršanas nosacījumu ievērošanu,</w:t>
      </w:r>
      <w:r w:rsidR="00000000" w:rsidRPr="00000000" w:rsidDel="00000000">
        <w:rPr>
          <w:b w:val="1"/>
          <w:rtl w:val="0"/>
        </w:rPr>
        <w:t xml:space="preserve"> </w:t>
      </w:r>
      <w:r w:rsidR="00000000" w:rsidRPr="00000000" w:rsidDel="00000000">
        <w:rPr>
          <w:rtl w:val="0"/>
        </w:rPr>
        <w:t xml:space="preserve">paredzot, ka projekta vadībā un īstenošanā iesaistītie darbinieki un iepirkumu līgumu izpildītāji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informēti par korupcijas un interešu konflikta novēršanas jautājumiem un krāpšanas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parakstījuši apliecinājumus par interešu konflikta neesību un pienākumu ziņot par konstatētajiem vai iespējamajiem trūkumiem un pārkāpumiem;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informēti par iespēju ziņot par pārkāpumiem un par ziņotāju aizsardzību atbilstoši Trauksmes celšanas 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iekšējās kontroles sistēmu, ietverot tajā informāciju par interešu konflikta, krāpšanas, korupcijas risku un dubultā finansējuma novēršanas mehānismiem;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mājokļa īpašnieka pilnvaras pamata ir tiesīgs veikt nepieciešamās darbības, tai skaitā ierosināt būvniecību, lai nodrošinātu mērķa grupas personas mājokļa vides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aģentūru par problēmām, tai skaitā par konstatētiem vai iespējamiem trūkumiem un pārkāpumiem, projekta īstenošanā, kas saistītas ar normatīvajos aktos par Atveseļošanas fonda plāna īstenošanu un uzraudzības kārtību un šajos noteikumos noteikto finansējuma saņēmēja pienākumu izpildi, un riskiem, kas apdraud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minēto atskaites punktu un šo noteikumu </w:t>
      </w:r>
      <w:r w:rsidR="00000000" w:rsidRPr="00000000" w:rsidDel="00000000">
        <w:rPr>
          <w:rtl w:val="0"/>
        </w:rPr>
        <w:t xml:space="preserve">7.2. apakšpunktā</w:t>
      </w:r>
      <w:r w:rsidR="00000000" w:rsidRPr="00000000" w:rsidDel="00000000">
        <w:rPr>
          <w:rtl w:val="0"/>
        </w:rPr>
        <w:t xml:space="preserve"> noteiktā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prasības, kas noteiktas normatīvajā aktā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organizējot publiskā iepirkuma procedūru, ievēro zaļā publiskā iepirkuma un sociāli atbildīgā iepirkuma principus, ja tas ir iespējams;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iepirkumu līgumos avansa maksājumus var paredzēt ne vairāk kā 30 procentu apmērā no attiecīgā līguma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grāmatvedības uzskaiti par projekta izdevumiem saskaņā ar grāmatvedību regulējošo normatīvo aktu prasībām un vispārpieņemtiem grāmatvedības kārtošanas principiem, piemēram, izveidojot atbilstošu uzskaites kodu sistēmu par projekta īstenošanai veiktajiem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vadības informācijas sistēmā atbilstoši līgumā par projekta īstenošanu noteiktajam termiņam, bet ne vēlāk kā līdz kārtējā gada 10. janvārim (par stāvokli uz iepriekšējā gada 31. decembri) un 10. jūlijam (par stāvokli uz kārtējā gada 30. jūniju);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normatīvajos aktos par Atveseļošanas fonda plāna īstenošanas un uzraudzības kārtību un Eiropas Parlamenta un Padomes 2021. gada 12. februāra Regulas (ES) Nr. 2021/241, ar ko izveido Atveseļošanas un noturības mehānismu (turpmāk – regula Nr. 2021/241), 22. panta 2. punkta "e" apakšpunktā minētajām institūcijām projekta īstenošanas laikā un visā šo noteikumu </w:t>
      </w:r>
      <w:r w:rsidR="00000000" w:rsidRPr="00000000" w:rsidDel="00000000">
        <w:rPr>
          <w:rtl w:val="0"/>
        </w:rPr>
        <w:t xml:space="preserve">31.12.</w:t>
      </w:r>
      <w:r w:rsidR="00000000" w:rsidRPr="00000000" w:rsidDel="00000000">
        <w:rPr>
          <w:rtl w:val="0"/>
        </w:rPr>
        <w:t xml:space="preserve"> apakšpunktā</w:t>
      </w:r>
      <w:r w:rsidR="00000000" w:rsidRPr="00000000" w:rsidDel="00000000">
        <w:rPr>
          <w:rtl w:val="0"/>
        </w:rPr>
        <w:t xml:space="preserve"> noteiktajā dokumentu glabāšanas termiņā ir pieejami visi ar projekta īstenošanu saistītie dokumentu oriģināli un grāmatvedības sistēmas dati. Dokumentu un datu pieejamība tiek nodrošināta vadības informācijas sistēmā vai pie finansējuma saņēmēja. Ja dokumenti un dati ir pieejami tikai pie finansējuma saņēmēja, nodrošina to iesniegšanu institūcijā, kas atbilstoši normatīvajos aktos par Atveseļošanas fonda plāna īstenošanas un uzraudzības kārtību noteiktajai kompetencei tos pieprasa, kā arī, ja nepieciešams, nodrošina informācijas pieejamību Latvijas Republikas un Eiropas Komisijas finansēšanas nolīgumā par Atveseļošanas un noturības mehānismu minētajām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pārzini Eiropas Parlamenta un Padomes 2016. gada 27. aprīļa Regulas (ES) Nr. 2016/679 par fizisku personu aizsardzību attiecībā uz personas datu apstrādi un šādu datu brīvu apriti un ar ko atceļ Direktīvu Nr. </w:t>
      </w:r>
      <w:r w:rsidR="00000000" w:rsidRPr="00000000" w:rsidDel="00000000">
        <w:rPr>
          <w:rtl w:val="0"/>
        </w:rPr>
        <w:t xml:space="preserve">95/46/EK</w:t>
      </w:r>
      <w:r w:rsidR="00000000" w:rsidRPr="00000000" w:rsidDel="00000000">
        <w:rPr>
          <w:rtl w:val="0"/>
        </w:rPr>
        <w:t xml:space="preserve"> (turpmāk – regula Nr. 2016/679), 4. panta 7. punkta izpratnē attiecībā uz tādu personas datu apstrādi vadības informācijas sistēmā, kas saistīti ar projekta īstenošanu, kā arī šo noteikumu </w:t>
      </w:r>
      <w:r w:rsidR="00000000" w:rsidRPr="00000000" w:rsidDel="00000000">
        <w:rPr>
          <w:rtl w:val="0"/>
        </w:rPr>
        <w:t xml:space="preserve">31.10.</w:t>
      </w:r>
      <w:r w:rsidR="00000000" w:rsidRPr="00000000" w:rsidDel="00000000">
        <w:rPr>
          <w:rtl w:val="0"/>
        </w:rPr>
        <w:t xml:space="preserve"> un </w:t>
      </w:r>
      <w:r w:rsidR="00000000" w:rsidRPr="00000000" w:rsidDel="00000000">
        <w:rPr>
          <w:rtl w:val="0"/>
        </w:rPr>
        <w:t xml:space="preserve">31.15.</w:t>
      </w:r>
      <w:r w:rsidR="00000000" w:rsidRPr="00000000" w:rsidDel="00000000">
        <w:rPr>
          <w:rtl w:val="0"/>
        </w:rPr>
        <w:t xml:space="preserve"> apakšpunktā minētās informācijas sagatavošanu un iesniegšanu;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ka projekta darbības ir vērstas uz regulas Nr.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Nr.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Nr.  </w:t>
      </w:r>
      <w:r w:rsidR="00000000" w:rsidRPr="00000000" w:rsidDel="00000000">
        <w:rPr>
          <w:rtl w:val="0"/>
        </w:rPr>
        <w:t xml:space="preserve">2019/2088</w:t>
      </w:r>
      <w:r w:rsidR="00000000" w:rsidRPr="00000000" w:rsidDel="00000000">
        <w:rPr>
          <w:rtl w:val="0"/>
        </w:rPr>
        <w:t xml:space="preserve">, 17. pantā minētā principa "Nenodarīt būtisku kaitējumu" vides mērķu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uzkrāj informāciju par atbalstu saņēmušajām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 lai nodrošinātu regulas Nr. 2021/241 22. panta prasību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īstenojot projektu, ir nepieciešami grozījumi projektā, plānotajā progresa pārskatu iesniegšanas grafikā vai iepirkumu plānā, tos izdara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grozījumu, plānoto progresa pārskatu iesniegšanas grafika vai iepirkumu plāna grozījumu priekšlikumu;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iesniegto projekta grozījumu lietderību, pamatotību un nepieciešamību, bet plānoto progresa pārskatu iesniegšanas grafika grozījumus pieņem zināšanai vai informē finansējuma saņēmēju par nepieciešamajiem precizējumiem, un nosaka termiņu precizējumu iesniegšanai;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izskatot plānotos grozījumus projektā, aģentūrai ir tiesības konsultēties ar ministriju par šajos noteikumos ietverto nosacījumu piemērošanu. Ministrija uz aģentūras konsultācijas pieprasījumu atbildi sniedz 10 darbdienu laikā, attiecīgi aģentūra par šo laiku pagarina projekta grozījumu priekšlikuma izskatīšanas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noraida projekta grozījumu priekšlikumu, tā norāda atteikuma pamatojumu un, ja nepieciešams, informāciju par veicamajiem precizējumiem, kā arī atkārtotas iesniegšanas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atkārtoti iesniegto grozījumu priekšlikumu aģentūra izskata līgumā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aģentūra veic atbilstošus grozījumus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projekta uzraudzību nodrošina sadarbībā ar normatīvajos aktos par Atveseļošanas fonda plāna īstenošanas un uzraudzības kārtību minētajām institūcijām atbilstoši tajos noteiktajai kārtībai un veic vismaz šādas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atskaites punktu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un to pamatojošās dokumentācijas atbilstības pārbaudes, tai skaitā ietverot datu ticamības pārbaudes.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Papildus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pārzini regulas Nr.  </w:t>
      </w:r>
      <w:r w:rsidR="00000000" w:rsidRPr="00000000" w:rsidDel="00000000">
        <w:rPr>
          <w:rtl w:val="0"/>
        </w:rPr>
        <w:t xml:space="preserve">2016/679</w:t>
      </w:r>
      <w:r w:rsidR="00000000" w:rsidRPr="00000000" w:rsidDel="00000000">
        <w:rPr>
          <w:rtl w:val="0"/>
        </w:rPr>
        <w:t xml:space="preserve"> 4. panta 7. punkta izpratnē attiecībā uz tādu personas datu apstrādi, kas nepieciešami normatīvajos aktos par Eiropas Savienības Atveseļošanas un noturības mehānisma plāna īstenošanas un uzraudzības kārtību noteikto funkciju izpildei;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korektīvas darbības, ja finansējuma saņēmējs neievēro ar Atveseļošanas fonda plāna īstenošanu saistītās šajos noteikumos un līgumā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projektu īstenošanas uzraudzības sanāksmes ne retāk kā reizi pusgadā vai atbilstoši nepieciešamībai, uzaicinot aģentūru un, ja nepieciešams, arī finansējuma saņēmējus;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sasniegšanas pamatošanai;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8.1.2.</w:t>
      </w:r>
      <w:r w:rsidR="00000000" w:rsidRPr="00000000" w:rsidDel="00000000">
        <w:rPr>
          <w:rtl w:val="0"/>
        </w:rPr>
        <w:t xml:space="preserve"> apakšpunktā</w:t>
      </w:r>
      <w:r w:rsidR="00000000" w:rsidRPr="00000000" w:rsidDel="00000000">
        <w:rPr>
          <w:rtl w:val="0"/>
        </w:rPr>
        <w:t xml:space="preserve"> minētās informācijas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par ministrijas pasākuma ietvaros konstatētajiem vai no aģentūras vai Iepirkumu uzraudzības biroja, Finanšu ministrijas kā Atveseļošanas fonda plāna revīzijas iestādes, Eiropas Komisijas, citām kontroles iestādēm vai finansējuma saņēmēja saņemto informāciju par konstatētajiem trūkumiem un pārkāpumiem saistībā ar Atveseļošanas fonda plāna prasību ievērošanu un riskiem 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 un iesniedz detalizētu situācijas aprakstu, kurā norāda pārkāpuma vai trūkuma rašanās cēloņus, finansiālo ietekmi, kā arī veicamās darbības un uzlabojumus, lai novērstu konstatētās nepilnības;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noteikto pašvaldības kvotu pārdali starp pašvaldībām, informējot par to projektu iesniedzēju vai finansējuma saņēmēju un aģentūru, kā arī nodrošina pašvaldību kvotu izmaiņu dokumentēšanu.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Aģentūrai ir tiesības vienpusēji atkāpties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neievēro projektā noteiktos termiņus vai ir iestājušies citi apstākļi, kas negatīvi ietekmē vai var ietekmēt šo noteikumu </w:t>
      </w:r>
      <w:r w:rsidR="00000000" w:rsidRPr="00000000" w:rsidDel="00000000">
        <w:rPr>
          <w:rtl w:val="0"/>
        </w:rPr>
        <w:t xml:space="preserve">7.1.1.</w:t>
      </w:r>
      <w:r w:rsidR="00000000" w:rsidRPr="00000000" w:rsidDel="00000000">
        <w:rPr>
          <w:rtl w:val="0"/>
        </w:rPr>
        <w:t xml:space="preserve">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projektā ir konstatēti gadījumi vai pazīmes, kas saistītas ar interešu konfliktu, korupciju, krāpšanu un dubultā finansējuma pārkāpumu pieļaušanu;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Pasākumu īsteno līdz 2026.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18.06.2024. noteikumiem Nr. 385)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18.06.2024. noteikumiem Nr. 385)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24-TA-2901</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24-TA-2901</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noteikumu_konsolidētā_versija_24-TA-2901.docx</dc:title>
</cp:coreProperties>
</file>

<file path=docProps/custom.xml><?xml version="1.0" encoding="utf-8"?>
<Properties xmlns="http://schemas.openxmlformats.org/officeDocument/2006/custom-properties" xmlns:vt="http://schemas.openxmlformats.org/officeDocument/2006/docPropsVTypes"/>
</file>