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Pārējo pedagogu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826"/>
        <w:gridCol w:w="3772"/>
        <w:tblGridChange w:id="0">
          <w:tblGrid>
            <w:gridCol w:w="802"/>
            <w:gridCol w:w="482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(tai skaitā pirmsskolas izglītības) metodiķis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iestādes pedagogs (izņemot Kultūras ministrijas padotības profesionālās izglītības iestādes), profesionālās ievirzes sporta izglītības pedagogs, interešu izglītības skolotājs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skolotājs (Kultūras ministrijas padotības profesionālās izglītības iestādē), profesionālās ievirzes izglītības mūzikā, mākslā un dejā pedagogs,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iestādes pedagogs (izņemot pirmsskolas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noteikumu_konsolidētā_versija_p1_23-TA-474.docx</dc:title>
</cp:coreProperties>
</file>

<file path=docProps/custom.xml><?xml version="1.0" encoding="utf-8"?>
<Properties xmlns="http://schemas.openxmlformats.org/officeDocument/2006/custom-properties" xmlns:vt="http://schemas.openxmlformats.org/officeDocument/2006/docPropsVTypes"/>
</file>