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slodze, kas atbilst vienai mēneša darba algas likmei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3101"/>
        <w:gridCol w:w="3101"/>
        <w:gridCol w:w="1281"/>
        <w:tblGridChange w:id="0">
          <w:tblGrid>
            <w:gridCol w:w="514"/>
            <w:gridCol w:w="4443"/>
            <w:gridCol w:w="3101"/>
            <w:gridCol w:w="310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nedēļā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gadā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astronomiskajās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stundu/nodarbību vadīšanai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skolotājs, 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mūzikā, mākslā un dejā pedagogs, koncertmeistars (izņemot Kultūras ministrijas padotības profesionālās izglītības 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sporta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baleta mākslinieks profesionālās vidējās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 sociālais pedagogs, skolotājs logopēds, speciālais pedagogs, pedagoga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izglītības iestādes vadītāja vietnieks, struktūrvienības vadītājs, izglītības metodiķis, pirmsskolas izglītības metodiķis, sporta organizators izglītības iestādē, surdopedagogs speciālās izglītības iestādes dzirdes kabinetā, tiflopedagogs speciālās izglītības iestādes redzes kabinetā, arodmācības (amatmācības) skolotājs, internāta skolotājs vispārējās un speciālās izglītības iestādē, skolotājs izglītības iestādes dienesta viesnīcā, izglītības iestādes bibliotekārs, skolotājs mentors, izglītības iestādes muzeju pedagogs, pedagogs karjeras konsultants, pagarinātās dienas grupas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un koncertmeistars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 asociētais profesors, docents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vadītājs un pedagogs var vienoties par citu darba slodzes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vadītājam un pedagogam vienojoties, darba slodzi nedēļā mācību stundu/nodarbību vadīšanai var palielināt, bet ne vairāk kā par divām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amata aprakstam.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23-TA-474</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23-TA-474</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noteikumu_konsolidētā_versija_p3_23-TA-474.docx</dc:title>
</cp:coreProperties>
</file>

<file path=docProps/custom.xml><?xml version="1.0" encoding="utf-8"?>
<Properties xmlns="http://schemas.openxmlformats.org/officeDocument/2006/custom-properties" xmlns:vt="http://schemas.openxmlformats.org/officeDocument/2006/docPropsVTypes"/>
</file>