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24.07.2017. noteikumiem Nr. 436; MK 14.08.2018. noteikumiem Nr. 525; MK 18.06.2019. noteikumiem Nr. 270)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un speciālajās klasēs un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01015521, 21015511, 21015521, 31015511, 31015521), ar garīgās veselības traucējumiem (izglītības programmu kodi 01015711, 01015711, 21015711, 21015711), ar fiziskās attīstības traucējumiem (izglītības programmu kodi 01015311, 01015321, 21015311, 21015321, 31015311, 31015321), ar redzes (izglītības programmu kodi 01015111, 01015121, 21015111, 21015121, 31015111, 31015121) vai dzirdes traucējumiem (izglītības programmu kodi 01015211, 01015221,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01015821, 21015811, 21015821), ar vairākiem attīstības traucējumiem (izglītības programmu kodi 01015911, 01015921,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pamatizglītības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izglītības iestāžu vadītājiem un speciālo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vispārējās un profesionālās izglītības iestāžu skolotājiem,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23-TA-474</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noteikumu_konsolidētā_versija_p4_23-TA-474.docx</dc:title>
</cp:coreProperties>
</file>

<file path=docProps/custom.xml><?xml version="1.0" encoding="utf-8"?>
<Properties xmlns="http://schemas.openxmlformats.org/officeDocument/2006/custom-properties" xmlns:vt="http://schemas.openxmlformats.org/officeDocument/2006/docPropsVTypes"/>
</file>