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14. aprīlī (prot. Nr. 20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5. decembra noteikumos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w:t>
      </w:r>
      <w:r>
        <w:br/>
      </w:r>
      <w:r w:rsidR="00000000" w:rsidRPr="00000000" w:rsidDel="00000000">
        <w:rPr>
          <w:rStyle w:val="paragraph"/>
          <w:i w:val="1"/>
          <w:rtl w:val="0"/>
        </w:rPr>
        <w:t xml:space="preserve">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5. decembra noteikumos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 (Latvijas Vēstnesis, 2023, 237.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Pasākuma mērķa grupa ir jaunieši, kuri pirms iesaistes projektā ir vecumā no 15 līdz 29 gadiem (ieskaitot) un nemācās, nestrādā, neapgūst arodu un nav reģistrēti Nodarbinātības valsts aģentūrā kā bezdarbnieki, kā arī priekšlaicīgas mācību pamešanas riska situācijā esoši jaunieši, kuri pirms iesaistes projektā ir vecumā no 15 līdz 17 gadiem (ieskaitot) ar neiegūtu pamatizglītību un kuri ilgstoši (četras nedēļas nepārtraukti) neapmeklē izglītības iestādi un nepiedalās izglītības ieguvē (turpmāk kopā – mērķa grupas jaunieši)."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līdz 2029. gada 31. decembrim – iznākuma rādītājs: NEET jaunieši un priekšlaicīgas mācību pamešanas riska situācijā esošie jaunieši, kas saņēmuši atbalstu ESF+ finansējuma ietvaros, – 2250, tai skaitā līdz 2024. gada 31. decembrim – 450;".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līdz 2029. gada 31. decembrim – rezultāta rādītājs: dalībnieki, kuri pēc dalības pārtraukšanas iesaistījušies izglītības ieguvē vai mācībās, – 405."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Nacionālais rādītājs: mērķa grupas jauniešu skaits, kas sekmīgi izpildījuši individuālo pasākumu programmu ESF+ atbalsta ietvaros, – 1575."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Pasākuma ietvaros plānotais un pieejamais kopējais finansējums ir 6 525 000 </w:t>
      </w:r>
      <w:r w:rsidR="00000000" w:rsidRPr="00000000" w:rsidDel="00000000">
        <w:rPr>
          <w:i w:val="1"/>
          <w:rtl w:val="0"/>
        </w:rPr>
        <w:t xml:space="preserve">euro</w:t>
      </w:r>
      <w:r w:rsidR="00000000" w:rsidRPr="00000000" w:rsidDel="00000000">
        <w:rPr>
          <w:rtl w:val="0"/>
        </w:rPr>
        <w:t xml:space="preserve">, tai skaitā ESF+ finansējums – 5 546 250 </w:t>
      </w:r>
      <w:r w:rsidR="00000000" w:rsidRPr="00000000" w:rsidDel="00000000">
        <w:rPr>
          <w:i w:val="1"/>
          <w:rtl w:val="0"/>
        </w:rPr>
        <w:t xml:space="preserve">euro</w:t>
      </w:r>
      <w:r w:rsidR="00000000" w:rsidRPr="00000000" w:rsidDel="00000000">
        <w:rPr>
          <w:rtl w:val="0"/>
        </w:rPr>
        <w:t xml:space="preserve"> un valsts budžeta līdzfinansējums – 978 750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w:t>
      </w:r>
      <w:r w:rsidR="00000000" w:rsidRPr="00000000" w:rsidDel="00000000">
        <w:rPr>
          <w:color w:val="#444444"/>
          <w:rtl w:val="0"/>
        </w:rPr>
        <w:t xml:space="preserve">Sadarbības partneris atbalsta sniegšanā mērķa grupas</w:t>
      </w:r>
      <w:r w:rsidR="00000000" w:rsidRPr="00000000" w:rsidDel="00000000">
        <w:rPr>
          <w:color w:val="#444444"/>
          <w:b w:val="1"/>
          <w:rtl w:val="0"/>
        </w:rPr>
        <w:t xml:space="preserve"> </w:t>
      </w:r>
      <w:r w:rsidR="00000000" w:rsidRPr="00000000" w:rsidDel="00000000">
        <w:rPr>
          <w:color w:val="#444444"/>
          <w:rtl w:val="0"/>
        </w:rPr>
        <w:t xml:space="preserve">jauniešiem var iesaistīt valsts un pašvaldības institūcijas, biedrības, nodibinājumus, jauniešu centrus, sociālos partnerus, uzņēmējus un citas iestādes vai organizācijas, lai kopīgi apzinātu un motivētu mērķa grupas jauniešus vai sadarbotos iesaistīto mērķa grupas jauniešu individuālās pasākumu programmas un pēcprogrammas mentoringa īstenošanā projekta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25.1.2.1.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"25.1.2.1. individuāla mērķa grupas jaunieša profilēšana, kas ietver šo noteikumu 2.7. apakšpunktā minētos pasākumus. Veicot mērķa grupas jaunieša profilēšanu, tiek apstrādāti personas identifikācijas dati (vārds, uzvārds, personas kods) un īpašo kategoriju personas dati (invaliditātes apliecības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26.1.4.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"26.1.4. supervīziju un pieredzes apmaiņas pasākumu nodrošināšana programmu vadītājiem, mērķa grupas jauniešu mentoriem un citiem projekta īstenošanā iesaistītajiem speciālistiem;".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28.2.1.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"28.2.1. tiešās attiecināmās personāla izmaksas, kas ietver projekta vadības personāla izmaksas, ieskaitot piemaksas, pabalstus un citas darbinieku atlīdzības izmaksas (izņemot virsstundas), šo noteikumu 26.3. apakšpunktā minēto atbalstāmo darbību īstenošanai un projekta īstenošanas personāla izmaksas šo noteikumu 26.1., 26.2. un 26.4. apakšpunktā minēto atbalstāmo darbību īstenošanai, ir attiecināmas kā faktiskās izmaksas. Ja personāla iesaiste projektā ir nodrošināta saskaņā ar daļlaika izmaksu attiecināmības principu un personāla izmaksas par minēto personālu attiecināmas kā faktiskās izmaksas, attiecināma ir ne mazāka kā 30 procentu noslodze;".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Finansējuma saņēmējs 25 darbdienu laikā (ja nav nepieciešami precizējumi vai papildu dokumentācija no sadarbības partnera) izvērtē un apstiprina šo noteikumu 34. punktā minēto sadarbības partnera iesniegto pārskatu un dokumentus. Izvērtējot minēto pārskatu un dokumentus, finansējuma saņēmējs, īstenojot šo noteikumu 3. punktā minēto mērķi, pārliecinās par projektā iesaistīto jauniešu atbilstību šo noteikumu 4. punktā definētajai mērķa grupai pirms iesaistes projektā. Finansējuma saņēmējs pārliecinās arī par pakalpojumu sniedzēju projektā iesaistīto jauniešu atbilstību šo noteikumu 4. punktā definētajai mērķa grupai pirms iesaistes projektā. Šim nolūkam iegūst informāciju no šādām datubāzēm: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no Valsts izglītības informācijas sistēmas, apstrādājot personas identifikācijas datus (vārds, uzvārds, personas kods), – informāciju par to, vai mērķa grupas jaunietis iegūst izglītību, apmeklē izglītības iestādi, vai ir persona ar invaliditāti vai prognozējamu invaliditāti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no Valsts ieņēmumu dienesta informācijas sistēmas, apstrādājot personas identifikācijas datus (personas kods), – informāciju par to, vai mērķa grupas jaunietis strādā;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veicot datu apmaiņu ar Nodarbinātības valsts dienestu un apstrādājot personas identifikācijas datus (vārds, uzvārds, personas kods), – informāciju par to, vai mērķa grupas jaunietim ir bezdarbnieka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Pēc šo noteikumu 34. punktā minētā pārskata apstiprināšanas finansējuma saņēmējs septiņu darbdienu laikā veic sadarbības partnerim maksājumu par mērķa grupas jauniešu iesaisti projektā. Maksājuma apmēru aprēķina,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V1 x D,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samaksas apmērs sadarbības partnerim par mērķa grupas jauniešu iesaisti projektā;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V1 – vienas vienības izmaksu standarta likme par viena mērķa grupas jaunieša iesaisti projektā;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mērķa grupas jauniešu skaits, kas iesaistīti 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Pēc šo noteikumu 38. punktā minētā pārskata apstiprināšanas finansējuma saņēmējs septiņu darbdienu laikā veic sadarbības partnerim maksājumu. Tā apmēru aprēķina,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drawing>
          <wp:inline distR="101600" distT="101600" distB="101600" distL="101600">
            <wp:extent cx="1495425" cy="504825"/>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1495425" cy="504825"/>
                    </a:xfrm>
                    <a:prstGeom prst="rect"/>
                    <a:ln/>
                  </pic:spPr>
                </pic:pic>
              </a:graphicData>
            </a:graphic>
          </wp:inline>
        </w:drawing>
      </w:r>
      <w:r w:rsidR="00000000" w:rsidRPr="00000000" w:rsidDel="00000000">
        <w:rPr>
          <w:rtl w:val="0"/>
        </w:rPr>
        <w:t xml:space="preserve">                                         , ja P &gt; 0,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attiecināmo izmaksu apmērs par mērķa grupas jaunieša dalību individuālajā pasākumu programmā;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 mērķa grupas jaunieša dalību individuālajā pasākumu programmā mēnesī;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w:t>
      </w:r>
      <w:r w:rsidR="00000000" w:rsidRPr="00000000" w:rsidDel="00000000">
        <w:rPr>
          <w:vertAlign w:val="subscript"/>
          <w:rtl w:val="0"/>
        </w:rPr>
        <w:t xml:space="preserve">i</w:t>
      </w:r>
      <w:r w:rsidR="00000000" w:rsidRPr="00000000" w:rsidDel="00000000">
        <w:rPr>
          <w:vertAlign w:val="subscript"/>
          <w:rtl w:val="0"/>
        </w:rPr>
        <w:t xml:space="preserve"> </w:t>
      </w:r>
      <w:r w:rsidR="00000000" w:rsidRPr="00000000" w:rsidDel="00000000">
        <w:rPr>
          <w:rtl w:val="0"/>
        </w:rPr>
        <w:t xml:space="preserve">– mēnešu skaits, cik ilgi īstenota projektā iesaistītā mērķa grupas jaunieša individuālā pasākumu programma;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avansa maksājuma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w:t>
      </w:r>
      <w:r w:rsidR="00000000" w:rsidRPr="00000000" w:rsidDel="00000000">
        <w:rPr>
          <w:rtl w:val="0"/>
        </w:rPr>
        <w:t xml:space="preserve"> Pēc šo noteikumu 38. punktā minētā pārskata apstiprināšanas sadarbības partneris 20 darbdienu laikā atmaksā neizlietoto avansa maksājumu par attiecīgo mērķa grupu. Minētā maksājuma apmēru aprēķina, izmantojot šādu formulu:</w:t>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495425" cy="504825"/>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1495425" cy="504825"/>
                    </a:xfrm>
                    <a:prstGeom prst="rect"/>
                    <a:ln/>
                  </pic:spPr>
                </pic:pic>
              </a:graphicData>
            </a:graphic>
          </wp:inline>
        </w:drawing>
      </w:r>
      <w:r w:rsidR="00000000" w:rsidRPr="00000000" w:rsidDel="00000000">
        <w:rPr>
          <w:rtl w:val="0"/>
        </w:rPr>
        <w:t xml:space="preserve">, ja P &lt; 0, kur</w:t>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attiecināmo izmaksu apmērs par mērķa grupas jaunieša dalību individuālajā pasākumu programmā;</w:t>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 mērķa grupas jaunieša dalību individuālajā pasākumu programmā mēnesī;</w:t>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w:t>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w:t>
      </w:r>
      <w:r w:rsidR="00000000" w:rsidRPr="00000000" w:rsidDel="00000000">
        <w:rPr>
          <w:vertAlign w:val="subscript"/>
          <w:rtl w:val="0"/>
        </w:rPr>
        <w:t xml:space="preserve">i</w:t>
      </w:r>
      <w:r w:rsidR="00000000" w:rsidRPr="00000000" w:rsidDel="00000000">
        <w:rPr>
          <w:rtl w:val="0"/>
        </w:rPr>
        <w:t xml:space="preserve"> – mēnešu skaits, cik ilgi īstenota projektā iesaistītā mērķa grupas jaunieša individuālā pasākumu programma;</w:t>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avansa maksājuma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Pēc šo noteikumu 42. punktā minētā pārskata apstiprināšanas finansējuma saņēmējs septiņu darbdienu laikā veic sadarbības partnerim maksājumu. Tā apmēru aprēķina,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285875" cy="55245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1285875" cy="552450"/>
                    </a:xfrm>
                    <a:prstGeom prst="rect"/>
                    <a:ln/>
                  </pic:spPr>
                </pic:pic>
              </a:graphicData>
            </a:graphic>
          </wp:inline>
        </w:drawing>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attiecināmo izmaksu apmērs par mērķa grupas jaunietim sniegto pēcprogrammas mentoringu;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vienam mērķa grupas jaunietim sniegto pēcprogrammas mentoringu;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 kas saņēmuši pēcprogrammas mentoringu);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sz w:val="26"/>
          <w:rtl w:val="0"/>
        </w:rPr>
        <w:t xml:space="preserve">m</w:t>
      </w:r>
      <w:r w:rsidR="00000000" w:rsidRPr="00000000" w:rsidDel="00000000">
        <w:rPr>
          <w:vertAlign w:val="subscript"/>
          <w:rtl w:val="0"/>
        </w:rPr>
        <w:t xml:space="preserve">i</w:t>
      </w:r>
      <w:r w:rsidR="00000000" w:rsidRPr="00000000" w:rsidDel="00000000">
        <w:rPr>
          <w:vertAlign w:val="subscript"/>
          <w:rtl w:val="0"/>
        </w:rPr>
        <w:t xml:space="preserve"> </w:t>
      </w:r>
      <w:r w:rsidR="00000000" w:rsidRPr="00000000" w:rsidDel="00000000">
        <w:rPr>
          <w:rtl w:val="0"/>
        </w:rPr>
        <w:t xml:space="preserve">– mēnešu skaits, cik ilgi projektā iesaistītais mērķa grupas jaunietis saņēmis pēcprogrammas mentoringa ietvaros sniegto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Ja mērķa grupas jaunietis ir pabeidzis vai pārtraucis dalību projektā, viņu tas pats vai cits sadarbības partneris vai arī tas pats vai cits pakalpojuma sniedzējs var iesaistīt projektā atkārtoti, nepārsniedzot individuālajā pasākumu programmā noteikto kopējo iesaistes ilgumu."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46.4.3.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"46.4.3. atbalstu saņēmušo mērķa grupas jauniešu skaitu, kuri 12 mēnešu periodā pēc atbalsta beigām turpina iegūt izglītību vai strādāt;".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Finansējuma saņēmējs un sadarbības partneri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kā arī paraksta interešu konflikta neesības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Finansējuma saņēmējs izveido projekta konsultatīvo padomi, kurā uzaicina piedalīties nozaru ministriju un sociālo partneru pārstāvjus, kā arī pārstāvjus no Latvijas Pašvaldību savienības, Latvijas Jaunatnes padomes, Labklājības ministrijas un citām organizācijām un institūcijām, ja nepieciešams. Projekta konsultatīvās padomes sastāvā novērotāju statusā var tikt iekļauti pārstāvji arī no citām organizācijām un institūcijām, tai skaitā no sadarbības iestādes un atbildīgās iestādes. Projekta konsultatīvās padomes darbību nosaka finansējuma saņēmēja izstrādāts, apstiprināts un ar Izglītības un zinātnes ministriju kā </w:t>
      </w:r>
      <w:r w:rsidR="00000000" w:rsidRPr="00000000" w:rsidDel="00000000">
        <w:rPr>
          <w:rtl w:val="0"/>
        </w:rPr>
        <w:t xml:space="preserve">nozares ministriju saskaņots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Konsultatīvā padome tiek rīkota ne retāk kā reizi 12 mēnešos.  Katrā konsultatīvajā padomē tiek izskatīts ziņojums par projekta īstenošanas progresu (tai skaitā par īstenotajiem mērķa grupas un sadarbības partneru informēšanas pasākumiem, par sasniegtajām šo noteikumu 5.1., 5.2. apakšpunktā un 6. punktā minēto uzraudzības rādītāju vērtībām, sniedzot atgriezenisko saiti par dalību projektā no projekta mērķa grupas jauniešiem, sadarbības partneriem un citām iesaistītajām pusēm, par projekta ietvaros sniegtajām atbalsta metodēm un pasākumiem mērķa grupas jauniešiem, par projektā atbalstāmo darbību atbilstību mērķa grupas jauniešu vajadzībām, par projektā sniegtā atbalsta ietekmi uz mērķa grupas jauniešiem, tostarp par sasniegtā rezultāta ilgtspēju). Konsultatīvā padome sniedz priekšlikumus turpmāko projekta darbību sekmīgai īstenošanai."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25-TA-2839</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25-TA-2839</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 Target="media/image10.JPG" Type="http://schemas.openxmlformats.org/officeDocument/2006/relationships/image" Id="rId10"/><Relationship Target="media/image11.JP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noteikumu_(grozījumu)_projekts_25-TA-2839.docx</dc:title>
</cp:coreProperties>
</file>

<file path=docProps/custom.xml><?xml version="1.0" encoding="utf-8"?>
<Properties xmlns="http://schemas.openxmlformats.org/officeDocument/2006/custom-properties" xmlns:vt="http://schemas.openxmlformats.org/officeDocument/2006/docPropsVTypes"/>
</file>