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2023. gadam un budžeta ietvaru 2023., 2024. un 2025. gadam" 66. pantu, atbalstīt apropriācijas pārdali 92 850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02.03.00 "Vienotās sakaru un informācijas sistēmas uzturēšana un vadība", lai prioritārā pasākuma "Kiberdrošības stiprināšana" ietvaros segtu izdevumus, kas saistīti ar datortehnikas un tīkla drošības iekārtu nomaiņu kiberdraudu mazināšanai iekšlietu resorā.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23-TA-2949</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23-TA-2949</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rīkojuma_projekts_23-TA-2949.docx</dc:title>
</cp:coreProperties>
</file>

<file path=docProps/custom.xml><?xml version="1.0" encoding="utf-8"?>
<Properties xmlns="http://schemas.openxmlformats.org/officeDocument/2006/custom-properties" xmlns:vt="http://schemas.openxmlformats.org/officeDocument/2006/docPropsVTypes"/>
</file>