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janvārī (prot. Nr. 1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17. decembra noteikumos Nr. 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Pievienotās vērtības nodokļa likuma</w:t>
      </w:r>
      <w:r>
        <w:br/>
      </w:r>
      <w:r w:rsidR="00000000" w:rsidRPr="00000000" w:rsidDel="00000000">
        <w:rPr>
          <w:rStyle w:val="paragraph"/>
          <w:i w:val="1"/>
          <w:rtl w:val="0"/>
        </w:rPr>
        <w:t xml:space="preserve">113.panta otro daļu un 114.panta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17. decembra noteikumos Nr. 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 (Latvijas Vēstnesis, 2013, 252.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darījumi, ko veic saskaņā ar Pievienotās vērtības nodokļa likuma 140.</w:t>
      </w:r>
      <w:r w:rsidR="00000000" w:rsidRPr="00000000" w:rsidDel="00000000">
        <w:rPr>
          <w:vertAlign w:val="superscript"/>
          <w:rtl w:val="0"/>
        </w:rPr>
        <w:t xml:space="preserve">3</w:t>
      </w:r>
      <w:r w:rsidR="00000000" w:rsidRPr="00000000" w:rsidDel="00000000">
        <w:rPr>
          <w:rtl w:val="0"/>
        </w:rPr>
        <w:t xml:space="preserve"> vai 140.</w:t>
      </w:r>
      <w:r w:rsidR="00000000" w:rsidRPr="00000000" w:rsidDel="00000000">
        <w:rPr>
          <w:vertAlign w:val="superscript"/>
          <w:rtl w:val="0"/>
        </w:rPr>
        <w:t xml:space="preserve">4</w:t>
      </w:r>
      <w:r w:rsidR="00000000" w:rsidRPr="00000000" w:rsidDel="00000000">
        <w:rPr>
          <w:rtl w:val="0"/>
        </w:rPr>
        <w:t xml:space="preserve"> pantā noteikto īpašo nodokļa režīmu."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"34.2.3. par nelietota nekustamā īpašuma iegādi iekšzemē un par iekšzemē saņemtajiem pakalpojumiem, kas saistīti ar nekustamā īpašuma būvniecību, pārbūvi, atjaunošanu, restaurāciju vai Padomes 2011. gada 15. marta Īstenošanas regulas (ES) Nr. 282/2011, ar ko nosaka īstenošanas pasākumus direktīvai 2006/112/EK par kopējo pievienotās vērtības nodokļa sistēmu (pārstrādāta versija), 31.a panta 2. punkta "k" apakšpunktā minētajiem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Šo noteikumu 34.2.3. apakšpunktā minēto nosacījumu daļā par iekšzemē saņemtajiem pakalpojumiem, kas saistīti ar nekustamā īpašuma būvniecību, pārbūvi, atjaunošanu, restaurāciju vai Padomes 2011. gada 15. marta Īstenošanas regulas (ES) Nr. 282/2011, ar ko nosaka īstenošanas pasākumus direktīvai 2006/112/EK par kopējo pievienotās vērtības nodokļa sistēmu (pārstrādāta versija), 31.a panta 2. punkta "k" apakšpunktā minētajiem pakalpojumiem, nepiemēro, ja atmaksu prasa citas dalībvalsts reģistrēts nodokļa maksātājs, kas minētos pakalpojumus izmanto: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 darījumiem, kuros par nodokļa samaksu ir atbildīgs pakalpojumu saņēmējs saskaņā ar Pievienotās vērtības nodokļa likuma 88. panta otrajā daļā noteikto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darījumiem, ko veic saskaņā ar Pievienotās vērtības nodokļa likuma 140.</w:t>
      </w:r>
      <w:r w:rsidR="00000000" w:rsidRPr="00000000" w:rsidDel="00000000">
        <w:rPr>
          <w:vertAlign w:val="superscript"/>
          <w:rtl w:val="0"/>
        </w:rPr>
        <w:t xml:space="preserve">3</w:t>
      </w:r>
      <w:r w:rsidR="00000000" w:rsidRPr="00000000" w:rsidDel="00000000">
        <w:rPr>
          <w:rtl w:val="0"/>
        </w:rPr>
        <w:t xml:space="preserve"> vai 140.</w:t>
      </w:r>
      <w:r w:rsidR="00000000" w:rsidRPr="00000000" w:rsidDel="00000000">
        <w:rPr>
          <w:vertAlign w:val="superscript"/>
          <w:rtl w:val="0"/>
        </w:rPr>
        <w:t xml:space="preserve">4</w:t>
      </w:r>
      <w:r w:rsidR="00000000" w:rsidRPr="00000000" w:rsidDel="00000000">
        <w:rPr>
          <w:rtl w:val="0"/>
        </w:rPr>
        <w:t xml:space="preserve"> pantā noteikto īpašo nodokļa režīmu."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Padomes 2008. gada 12. februāra Direktīvas 2008/9/EK, ar ko nosaka sīki izstrādātus noteikumus Direktīvā 2006/112/EK paredzētajai pievienotās vērtības nodokļa atmaksāšanai nodokļa maksātājiem, kas neveic uzņēmējdarbību attiecīgās valsts teritorijā, bet veic uzņēmējdarbību citā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Padomes 2006. gada 28. novembra Direktīvas 2006/112/EK par kopējo pievienotās vērtības nodokļa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Padomes 2017. gada 5. decembra Direktīvas (ES) 2017/2455, ar ko groza Direktīvu 2006/112/EK un Direktīvu 2009/132/EK attiecībā uz konkrētām pievienotās vērtības nodokļa saistībām pakalpojumu sniegšanā un preču tālpārdošanā."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23-TA-2166</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23-TA-2166</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noteikumu_(grozījumu)_projekts_23-TA-2166.docx</dc:title>
</cp:coreProperties>
</file>

<file path=docProps/custom.xml><?xml version="1.0" encoding="utf-8"?>
<Properties xmlns="http://schemas.openxmlformats.org/officeDocument/2006/custom-properties" xmlns:vt="http://schemas.openxmlformats.org/officeDocument/2006/docPropsVTypes"/>
</file>