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(Valsts sociālās apdrošināšanas aģentūrai) finansējumu 22 250 717 </w:t>
      </w:r>
      <w:r w:rsidR="00000000" w:rsidRPr="00000000" w:rsidDel="00000000">
        <w:rPr>
          <w:i w:val="1"/>
          <w:rtl w:val="0"/>
        </w:rPr>
        <w:t xml:space="preserve">euro</w:t>
      </w:r>
      <w:r w:rsidR="00000000" w:rsidRPr="00000000" w:rsidDel="00000000">
        <w:rPr>
          <w:rtl w:val="0"/>
        </w:rPr>
        <w:t xml:space="preserve"> apmērā, veicot valsts budžeta uzturēšanas izdevumu transfertu no valsts pamatbudžeta uz valsts speciālā budžeta apakšprogrammu 04.04.00 ''Invaliditātes, maternitātes un slimības speciālais budžets'', lai segtu izdevumus par slimības pabalstiem saistībā ar Covid-19 izplatības sekām par 2021. gada II ceturksni.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21-TA-999</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21-TA-999</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rīkojuma_projekts_21-TA-999.docx</dc:title>
</cp:coreProperties>
</file>

<file path=docProps/custom.xml><?xml version="1.0" encoding="utf-8"?>
<Properties xmlns="http://schemas.openxmlformats.org/officeDocument/2006/custom-properties" xmlns:vt="http://schemas.openxmlformats.org/officeDocument/2006/docPropsVTypes"/>
</file>