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kopējām valsts pārvaldē auditējamām prioritātēm 2025. un 2026.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25-TA-712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