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4. oktobrī (prot. Nr. 51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21. oktobra noteikumos Nr. 876 "Siltumenerģijas piegādes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46. panta pirmo daļu un 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 </w:t>
      </w:r>
      <w:r w:rsidR="00000000" w:rsidRPr="00000000" w:rsidDel="00000000">
        <w:rPr>
          <w:rStyle w:val="paragraph"/>
          <w:i w:val="1"/>
          <w:rtl w:val="0"/>
        </w:rPr>
        <w:t xml:space="preserve">Energoresursu cenu ārkārtēja pieauguma samazinājuma pasākumu likuma</w:t>
      </w:r>
      <w:r w:rsidR="00000000" w:rsidRPr="00000000" w:rsidDel="00000000">
        <w:rPr>
          <w:rStyle w:val="paragraph"/>
          <w:i w:val="1"/>
          <w:rtl w:val="0"/>
        </w:rPr>
        <w:t xml:space="preserve"> 7. panta sesto daļu un </w:t>
      </w:r>
      <w:r w:rsidR="00000000" w:rsidRPr="00000000" w:rsidDel="00000000">
        <w:rPr>
          <w:rStyle w:val="paragraph"/>
          <w:i w:val="1"/>
          <w:rtl w:val="0"/>
        </w:rPr>
        <w:t xml:space="preserve">Energoefektivitātes likuma</w:t>
      </w:r>
      <w:r w:rsidR="00000000" w:rsidRPr="00000000" w:rsidDel="00000000">
        <w:rPr>
          <w:rStyle w:val="paragraph"/>
          <w:i w:val="1"/>
          <w:rtl w:val="0"/>
        </w:rPr>
        <w:t xml:space="preserve"> 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21. oktobra noteikumos Nr. 876 "Siltumenerģijas piegādes un lietošanas noteikumi" (Latvijas Vēstnesis, 2008, 168. nr.; 2015, 219. nr.; 2022, 25.,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Enerģētikas likuma 46. panta pirmo daļu un 46.</w:t>
      </w:r>
      <w:r w:rsidR="00000000" w:rsidRPr="00000000" w:rsidDel="00000000">
        <w:rPr>
          <w:vertAlign w:val="superscript"/>
          <w:rtl w:val="0"/>
        </w:rPr>
        <w:t xml:space="preserve">1</w:t>
      </w:r>
      <w:r w:rsidR="00000000" w:rsidRPr="00000000" w:rsidDel="00000000">
        <w:rPr>
          <w:rtl w:val="0"/>
        </w:rPr>
        <w:t xml:space="preserve"> panta trešo daļu, likuma "Par sabiedrisko pakalpojumu regulatoriem" 22. panta piekto daļu, Energoresursu cenu ārkārtēja pieauguma samazinājuma pasākumu likuma 7. panta sesto daļu un Energoefektivitātes likuma 16. panta pirmo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rēķina informācijas un papildu informācijas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nedzīvojamās ēkās, kurās, neskaitot koplietošanas telpu grupas, atrodas vairākas citas telpu grupas, kam savstarpēji jādala maksājums par patērēto siltumenerģiju, lietotājs, kas ir ēkas īpašnieks, dzīvokļu īpašnieku kopība vai tās pilnvarotā persona, kura darbojas visu dzīvojamās mājas īpašnieku vārdā, vai piegādātājs (tiešo norēķinu gadījumā) sadala ēkā patērēto siltumenerģijas apjomu, izmantojot galalietotāju dzīvokļos, mākslinieku darbnīcās vai nedzīvojamās telpās uzstādīto individuālo siltumenerģijas skaitītāju rādījumus. Ja individuālo siltumenerģijas skaitītāju uzstādīšana nav tehniski iespējama vai nav rentabla, izmanto siltuma maksas sadalītājus. Karstā ūdens patēriņa noteikšanai dzīvoklī, nedzīvojamā telpā vai mākslinieka darbnīcā izmanto karstā ūdens patēriņa skaitītājus."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nedzīvojamās ēkās, kurās, neskaitot koplietošanas telpu grupas, atrodas vairākas citas telpu grupas, kam savstarpēji jādala maksājums par patērēto siltumenerģiju, nodrošina ēkas īpašnieks, dzīvokļu īpašnieku kopība vai tās pilnvarotā persona, kura darbojas visu dzīvojamās mājas īpašnieku vārdā."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attiecīgajām prasībām nodrošina saskaņā ar standartu LVS EN 834+AC:2021 "Siltumenerģijas patēriņa noteicēji dzīvokļa apsildes radiatoriem. Ierīces ar elektroenerģijas avotu"."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pilnvarotā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Ēkas īpašnieks, dzīvokļu īpašnieku kopība vai tās pilnvarotā persona, kura darbojas visu dzīvojamās mājas īpašnieku vārdā, nodrošina, ka no 2027. gada 1. janvāra visu individuālo siltumenerģijas skaitītāju un siltuma maksas sadalītāju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 Ja piegādātājs un lietotājs nav vienojušies citādi, piegādātājs nodrošina, ka jaunu piegādātāja siltumenerģijas skaitītāju uzstādīšanas vai to maiņas gadījumā uzstādāmo siltumenerģijas skaitītāju rādījumi ir nolasāmi attālināti, bet no 2027. gada 1. janvāra visu piegādātāja siltumenerģijas skaitītāju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Piegādātāja vainas dēļ lietotājam nepiegādātās siltumenerģijas daudzumu aprēķina pa diennaktīm kā starpību starp vidējo diennakts patēriņu trijās dienās pēc siltumapgādes atjaunošanas līgumā noteiktajā apjomā un faktisko diennakts patēriņu. Aprēķinot nepiegādātās siltumenerģijas daudzumu apkurei un ventilācijai, ņem vērā vidējo diennakts āra gaisa temperatūru un lieto koeficientu saskaņā ar šo noteikumu 35.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Siltumenerģijas piegādi lietotājam piegādātājs atjauno triju darbdienu laikā pēc tam, kad konstatējis,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 novērsti šo noteikumu 26. punktā minētie pārkāpumi;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pilnvarotā persona, kura darbojas visu daudzdzīvokļu dzīvojamās mājas īpašnieku vārdā, par iepriekšējos 12 kalendāra mēnešos piegādāto siltumenerģiju ir veicis samaksu vairāk nekā 80% apmērā no lietotājam attiecīgajos norēķinu periodos izrakstītajiem rēķiniem un par nesaņemtajiem maksājumiem ir uzsācis parādu piedziņas procesu, kas ietver vismaz paziņojuma par parāda esību nosūtīšanu dzīvokļa, nedzīvojamās telpas vai mākslinieka darbnīcas īpašniekam un prasības pieteikuma par parāda piedziņu iesniegšanu tiesā (attiecas uz piegādātāju, kura triju gadu vidējais lietotājiem piegādātās siltumenerģijas apjoms ir lielāks par 2 000 000 megavatstundām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pilnvarotā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reizi gadā līdz 1. novembrim – tīmekļvietnes adrese, kurā atrodams faktiskā siltumenerģijas patēriņa salīdzinājums (grafiskā veidā) ar patēriņu tajā pašā laikposmā iepriekšējā gadā, ņemot vērā ārgaisa temperatūras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4. informācija saziņai ar lietotāju organizācijām, enerģētikas aģentūrām vai citām organizācijām, tostarp tīmekļvietņu adreses, kur var iegūt informāciju par energoefektivitātes uzlabošanas pasākumiem, efektīvām enerģiju patērējošām iekārtām, līdzīgu lietotāju patēriņu un līdzīgas lietotāju grupas vidējo normalizēto siltumenerģijas patēriņu. Šo informāciju piegādātājs iekļauj arī savā tīmekļvietnē, kas paredzēta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 tīmekļvietnes adrese, kurā ir publicēta informācija par siltumenerģijas ražošanā izmantotā kurināmā struktūru un ar to saistīto ikgadējo siltumnīcefekta gāzu emisiju apjomu un piemēroto nodokļu, nodevu un tarifu apraksts. Informāciju par siltumnīcefekta gāzu emisiju apjomu sniedz piegādātājs, pie kura centralizētās siltumapgādes sistēmas ir pieslēgti siltumavoti ar kopējo nominālo siltumenerģijas jaudu, kas ir lielāka par 20 megavatiem;".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 informācija par tiesībām apstrīdēt rēķinus."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Pēc piegādātāja pieprasījuma siltumenerģijas ražotājs, kura siltumavoti ir pieslēgti pie piegādātāja centralizētās siltumapgādes sistēmas, sniedz piegādātājam šo noteikumu 36.</w:t>
      </w:r>
      <w:r w:rsidR="00000000" w:rsidRPr="00000000" w:rsidDel="00000000">
        <w:rPr>
          <w:vertAlign w:val="superscript"/>
          <w:rtl w:val="0"/>
        </w:rPr>
        <w:t xml:space="preserve">1</w:t>
      </w:r>
      <w:r w:rsidR="00000000" w:rsidRPr="00000000" w:rsidDel="00000000">
        <w:rPr>
          <w:rtl w:val="0"/>
        </w:rPr>
        <w:t xml:space="preserve">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Piegādātājs nodrošina, lai lietotājiem tiktu piedāvāta iespēja rēķinus un rēķinu informāciju saņemt elektroniskā veidā, nodrošinot lietotāju privātuma un datu aizsardzību saskaņā ar normatīvajiem aktiem par fizisko personu datu aizsardzību. Rēķinus elektroniskā veidā un informāciju par patēriņu elektroniskā veidā lietotāji saņem bez maksas. Tiešo norēķinu gadījumā piegādātājs iekļauj rēķinā pamatotas rēķina sagatavošanas izmaksas, ievērojot bezpeļņas principu."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Ēkas īpašnieks, dzīvokļu īpašnieku kopība vai tās pilnvarotā persona, kura darbojas visu dzīvojamās mājas īpašnieku vārdā, sadala piegādātāja izrakstītajā rēķinā noteikto maksājumu par patērēto siltumenerģiju starp dzīvokļu īpašniekiem, mākslinieku darbnīcu un nedzīvojamo telpu īpašniekiem, nodrošinot: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maksājuma par patērēto siltumenerģiju sadalīšanu, pamatojoties uz normatīvajos aktos par dzīvojamo māju pārvaldīšanu noteiktajām siltumenerģijas aprēķinu metodikām un ņemot vērā faktisko patēriņu, ja ir uzstādīti individuālie siltumenerģijas skaitītāji vai siltuma maksas sadalītāji;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2. piegādātāja sniegtās informācijas iekļaušanu rēķinā atbilstoši patērētajam siltumenerģijas apjomam;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3. iespēju saņemt rēķinus un rēķinu informāciju elektroniskā veidā, nodrošinot datu aizsardzību saskaņā ar normatīvajiem aktiem par fizisko personu datu aizsardzību;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4. pamatotu rēķina sagatavošanas izmaksu iekļaušanu rēķinā, ievērojot bezpeļņas principu;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5. siltumenerģijas patēriņa, siltuma maksas sadalītāju rādījumu un izrakstīto rēķinu informācijas nodošanu piegādātājam pēc dzīvokļa īpašnieka, mākslinieku darbnīcas un nedzīvojamo telpu īpašnieka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informatīvās atsauces uz Eiropas Savienības direktīvām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2012. gada 25. oktobra Direktīvas 2012/27/ES par energoefektivitāti, ar ko groza Direktīvas 2009/125/EK un 2010/30/ES un atceļ Direktīvas 2004/8/EK un 2006/32/EK;</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2018. gada 11. decembra Direktīvas 2018/2002, ar ko groza Direktīvu 2012/27/ES par energoefektivitāti."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noteikumu_(grozījumu)_projekts_22-TA-871.docx</dc:title>
</cp:coreProperties>
</file>

<file path=docProps/custom.xml><?xml version="1.0" encoding="utf-8"?>
<Properties xmlns="http://schemas.openxmlformats.org/officeDocument/2006/custom-properties" xmlns:vt="http://schemas.openxmlformats.org/officeDocument/2006/docPropsVTypes"/>
</file>