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(Latvijas Vēstnesis, 2023, 198. nr.; 2025, 194.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interešu konflikts – konflikts, kas atbilst Eiropas Parlamenta un Padomes 2024. gada 23. septembra Regulas (ES, Euratom) 2024/2509 par finanšu noteikumiem, ko piemēro Savienības vispārējam budžetam (pārstrādāta redakcija),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"8.10. datu apstrāde, uzturēšana un ar to saistītās darbības (NACE 2. red. J sadaļas 63.11 klase "Datu apstrāde, uzturēšana un ar to saistītās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Atbalsta pretendenta apgrozījuma apmērā iekļauj tā saistīto personu apgrozījumu projekta īstenošanas nozarē un tirgus blakusnozarēs."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16.1.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vertAlign w:val="superscript"/>
          <w:rtl w:val="0"/>
        </w:rPr>
        <w:t xml:space="preserve">1</w:t>
      </w:r>
      <w:r w:rsidR="00000000" w:rsidRPr="00000000" w:rsidDel="00000000">
        <w:rPr>
          <w:rtl w:val="0"/>
        </w:rPr>
        <w:t xml:space="preserve"> šo noteikumu 9.</w:t>
      </w:r>
      <w:r w:rsidR="00000000" w:rsidRPr="00000000" w:rsidDel="00000000">
        <w:rPr>
          <w:vertAlign w:val="superscript"/>
          <w:rtl w:val="0"/>
        </w:rPr>
        <w:t xml:space="preserve">1</w:t>
      </w:r>
      <w:r w:rsidR="00000000" w:rsidRPr="00000000" w:rsidDel="00000000">
        <w:rPr>
          <w:rtl w:val="0"/>
        </w:rPr>
        <w:t xml:space="preserve"> punktā minētajā gadījumā atbalsta pretendents ar projektam pievienoto finanšu plānu apliecina saimnieciskās darbības ekonomisko dzīvotspēju un spēju īstenot projektu un sasniegt tā mērķi. Atbilstoši finanšu plānam starp ieņēmumiem un izdevumiem ir pozitīvs atlikums pēdējā noslēgtajā gadā pirms projekta iesniegšanas un pirmajā gadā pēc projekta īstenošanas, bet šo noteikumu 11.1.2. un 11.3.2. apakšpunktā minētajiem atbalsta pretendentiem – arī projekta iesnieguma iesniegšanas gadā un visos projekta īstenošanas gados;".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pēc projekta īstenošanas šo noteikumu 9.</w:t>
      </w:r>
      <w:r w:rsidR="00000000" w:rsidRPr="00000000" w:rsidDel="00000000">
        <w:rPr>
          <w:vertAlign w:val="superscript"/>
          <w:rtl w:val="0"/>
        </w:rPr>
        <w:t xml:space="preserve">1</w:t>
      </w:r>
      <w:r w:rsidR="00000000" w:rsidRPr="00000000" w:rsidDel="00000000">
        <w:rPr>
          <w:rtl w:val="0"/>
        </w:rPr>
        <w:t xml:space="preserve"> punktā minētā atbalsta saņēmējs (izņemot pašvaldības un atbalsta saņēmējus, kas īsteno projektu, kurā ir tikai ar nodarbināto produktivitātes kāpināšanu vai sabiedriskajām attiecībām saistītas izmaksas) veic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projektā ir iesaistīts plānotais dalībnieku skaits – ne mazāk kā 10 dalībnieku, no kuriem vismaz 80 procentu ir vecumā no septiņiem līdz 30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būvniecības izmaksas, ja būve tiek tehniski vai funkcionāli uzlabota vai telpas tiek pārveidotas un pielāgotas saimnieciskās darbības vajadzībām. Pēc projekta īstenošanas būvniecības izmaksas iekļauj pamatlīdzekļa vērtībā (kapitalizē). Izmaksas ir attiecināmas, pamatojoties uz līgumiem ar trešajām personām, kas ir atbildīgas par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būvmateriālu iegādes izmaksas būvniecības darbiem, pamatojoties uz būvspeciālista sastādītu tāmi un skici;".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tehnikas, iekārtu un aprīkojuma izmaksas, kas paredzēts atjaunojamās vai atjaunīgās elektroenerģijas ražošanai atbalsta pretendenta pašpatēriņam (dzesēšanai un elektroapgādei) esošās un jaunās ražošanas būvēs, ja elektroenerģijas ražošanas jauda nepārsniedz pretendenta elektroenerģijas pašpatēriņu iepriekšējā kalendāra gadā vai ja atbalsta saņēmējs var pamatot plānoto elektroenerģijas patēriņa palielinājumu. Izmaksas ir attiecināmas, ja tā ir daļa no šo noteikumu 33.1. vai 33.2. apakšpunktā minētajām attiecināmajām izmaksām un šis ieguldījums ir paredzēts ražošanas būvju pašpatēriņam un ir tieši saistīts ar atbalstāmo ražošanas darbību. Šajā apakšpunktā minētās izmaksas saskaņā ar regulas 2021/2115 83. panta 1. punkta "b" apakšpunktu un 2. punkta "a" apakšpunktu sedzamas kā vienības izmaksas atbilstoši Zemkopības ministrijas apstiprinātajai vienības izmaksu finansējuma aprēķina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būvniecības izmaksas, pamatojoties uz līgumiem ar trešajām personām, kas ir atbildīgas par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būvmateriālu iegādes izmaksas būvniecības darbiem, pamatojoties uz būvspeciālista sastādītu tāmi un skici;".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Aktivitātē "Kopienu spēcinošas un vietas attīstību sekmējošas iniciatīvas", ja projekta īstenošana ietver tikai šo noteikumu 35.4. apakšpunktā minētās izmaksas, privāto līdzfinansējumu līdz 10 procentiem no projekta attiecināmajām izmaksām var ieguldīt natūrā brīvprātīgā darba vai darba bez atlīdzības veidā atbilstoši regulas 2021/2115 86. panta 5. punktam un Finanšu ministrijas metodikai "Par ieguldījumiem natūrā projektu līdzfinansēšanai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Brīvprātīgo darbu un darbu bez atlīdzības, kas paredzēts šo noteikumu 35.4. apakšpunktā minēto būvniecības darbu izpildei un ir tieši saistīts ar projektā īstenojamām darbībām, ir iespējams novērtēt naudas izteiksmē atbilstoši konkrētas kvalifikācijas un profila personāla vidējām atlīdzības izmaksām, ko nosaka saskaņā ar Valsts ieņēmumu dienesta jaunākajiem datiem, un darbam nepieciešamo stundu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programmatūras atjaunināšanas izmaksas, esošo būvju un iegādāto pamatlīdzekļu remontdarbu un citas uzturēšanas izmaksas, izņemot izmaksas šo noteikumu 35.4.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"42.19. mazvērtīgā inventāra iegādes izmaksas, izņemot izmaksas šo noteikumu 33.</w:t>
      </w:r>
      <w:r w:rsidR="00000000" w:rsidRPr="00000000" w:rsidDel="00000000">
        <w:rPr>
          <w:vertAlign w:val="superscript"/>
          <w:rtl w:val="0"/>
        </w:rPr>
        <w:t xml:space="preserve">2</w:t>
      </w:r>
      <w:r w:rsidR="00000000" w:rsidRPr="00000000" w:rsidDel="00000000">
        <w:rPr>
          <w:rtl w:val="0"/>
        </w:rPr>
        <w:t xml:space="preserve">2., 35.4. un 37.</w:t>
      </w:r>
      <w:r w:rsidR="00000000" w:rsidRPr="00000000" w:rsidDel="00000000">
        <w:rPr>
          <w:vertAlign w:val="superscript"/>
          <w:rtl w:val="0"/>
        </w:rPr>
        <w:t xml:space="preserve">1</w:t>
      </w:r>
      <w:r w:rsidR="00000000" w:rsidRPr="00000000" w:rsidDel="00000000">
        <w:rPr>
          <w:rtl w:val="0"/>
        </w:rPr>
        <w:t xml:space="preserve">8.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42.19.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"42.19.</w:t>
      </w:r>
      <w:r w:rsidR="00000000" w:rsidRPr="00000000" w:rsidDel="00000000">
        <w:rPr>
          <w:vertAlign w:val="superscript"/>
          <w:rtl w:val="0"/>
        </w:rPr>
        <w:t xml:space="preserve">1</w:t>
      </w:r>
      <w:r w:rsidR="00000000" w:rsidRPr="00000000" w:rsidDel="00000000">
        <w:rPr>
          <w:rtl w:val="0"/>
        </w:rPr>
        <w:t xml:space="preserve"> tehnikas, iekārtu un aprīkojuma izmaksas, kas paredzēts atjaunojamās vai atjaunīgās elektroenerģijas ražošanai, izņemot izmaksas šo noteikumu 33.4.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konkrētā kārta ir ilgāka par 30 dienām, pēc dienas, kad iesniegto projektu īstenošanai pieteiktais publiskais finansējums sasniedz 80 procentu no konkrētajā kārtā pieejamā finansējuma, Lauku atbalsta dienests un vietējā rīcības grupa savā tīmekļvietnē ievieto paziņojumu par to, ka projektu iesniegumu iesniegšana beigsies pēc 30 dienām, ja līdz šo noteikumu 45. punktā minētajā kārtībā izsludinātā iesniegumu iesniegšanas termiņa beigām atlicis vairāk par 30 dienām un konkrētajā kārtā pieejamais publiskais finansējums nav pilnībā rezervēts iesniegto projektu īstenošanai.</w:t>
      </w:r>
      <w:r w:rsidR="00000000" w:rsidRPr="00000000" w:rsidDel="00000000">
        <w:rPr>
          <w:color w:val="#c0392b"/>
          <w:rtl w:val="0"/>
        </w:rPr>
        <w:t xml:space="preserve"> </w:t>
      </w:r>
      <w:r w:rsidR="00000000" w:rsidRPr="00000000" w:rsidDel="00000000">
        <w:rPr>
          <w:rtl w:val="0"/>
        </w:rPr>
        <w:t xml:space="preserve">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ja nekustamo īpašumu, kurā paredzēts īstenot projektu un uzstādīt stacionāros pamatlīdzekļus, atbalsta pretendents nomā, – nomas līguma kopiju. Ja paredzēta būvniecība un nekustamo īpašumu, kurā paredzēts īstenot projektu, atbalsta pretendents nomā, tas kopā ar projekta iesniegumu vai pirms projekta īstenošanas uzsākšanas iesniedz zemesgrāmatā reģistrētu ilgtermiņa nomas līgumu. Ja paredzēta tādu pamatlīdzekļu iegāde, kuri nav stacionāri novietojami (ja vien projektā plānotās aktivitātes neīsteno noteiktā telpā), atbalsta pretendents nomas līguma vietā iesniedz saskaņojumu ar nekustamā īpašuma īpašnieku par pamatlīdzekļu novietošanu vai uzglabāšanu. Nomas līgums vai saskaņojums (ja attiecināms)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"48.5. ja projektā plānota būvniecība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48.8.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ja nekustamo īpašumu, kurā paredzēts īstenot projektu un uzstādīt stacionāros pamatlīdzekļus, atbalsta pretendents nomā, – nomas līguma kopiju. Ja paredzēta būvniecība un nekustamo īpašumu, kurā paredzēts īstenot projektu, atbalsta pretendents nomā, tas kopā ar projekta iesniegumu vai pirms projekta īstenošanas uzsākšanas iesniedz zemesgrāmatā reģistrētu ilgtermiņa nomas līgumu. Ja nekustamais īpašums, kurā īsteno projektu, ir valsts vai pašvaldības īpašumā vai valdījumā, atbalsta pretendents var iesniegt tāda patapinājuma līguma kopiju, kas noslēgts vismaz uz pieciem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w:t>
      </w:r>
      <w:r w:rsidR="00000000" w:rsidRPr="00000000" w:rsidDel="00000000">
        <w:rPr>
          <w:i w:val="1"/>
          <w:rtl w:val="0"/>
        </w:rPr>
        <w:t xml:space="preserve">. </w:t>
      </w:r>
      <w:r w:rsidR="00000000" w:rsidRPr="00000000" w:rsidDel="00000000">
        <w:rPr>
          <w:rtl w:val="0"/>
        </w:rPr>
        <w:t xml:space="preserve">Nomas līgums, patapinājuma līgums vai saskaņojums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49.5.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"49.5. ja projektā plānota būvniecība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49.8.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49.10.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"49.10. ja projekta īstenošanai līdzfinansējums tiek nodrošināts kā ieguldījums natūrā, – līgumu ar fizisku personu par brīvprātīgo darbu atbilstoši Finanšu ministrijas metodikai "Par ieguldījumiem natūrā projektu līdzfinansēšanai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Pretendējot uz finansējumu būvniecībai vai būvmateriālu iegādei, atbalsta pretendents projekta iesniegumā vai sešu mēnešu laikā pēc dienas, kad stājies spēkā lēmums par projekta iesnieguma apstiprināšanu, informē Lauku atbalsta dienestu par Būvniecības informācijas sistēmā uzsāktās būvniecības lietas numuru un sagatavoto tehnisko dokumentāciju par būvniecības procesu (ja attiecināms). Šādā gadījumā iepirkuma dokumentus, kas saistīti ar būvniecības izmaksām, iesniedz kopā ar projekta iesniegumu vai sešu mēnešu laikā pēc dienas, kad stājies spēkā lēmums par projekta iesnieguma apstiprināšanu, bet ne vēlāk kā piecu darbdienu laikā pēc iepirkuma procedūras pabeigšanas. Informāciju par papildinātu būvatļauju ar būvvaldes atzīmi par būvdarbu uzsākšanas nosacījumu izpildi atbalsta pretendents iesniedz Lauku atbalsta dienestā kopā ar projekta iesniegumu vai deviņu mēnešu laikā pēc dienas, kad stājies spēkā lēmums par projekta iesnieguma apstiprināšanu. Ja atbalsta pretendents ir pašvaldība, iepirkumu un būvniecības dokumentāciju iesniedz kopā ar projekta iesniegumu vai gada laikā pēc dienas, kad stājies spēkā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atbalsta pretendents atbalsta saņemšanai izmanto rēķinu priekšapmaksu vai avansa pieprasījumu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(ja attiecināms), kā arī iepirkuma dokumentus, kas saistīti ar būvniecības izmaksām, iesniedz Lauku atbalsta dienestā kopā ar rēķinu priekšapmaksas vai avansa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Vietējā rīcības grupa 10 darbdienu laikā pēc šo noteikumu 56. punktā minētā vērtēšanas termiņa beigām savā tīmekļvietnē ievieto paziņojumu par konkrētajā kārtā pieejamo publisko finansējumu, ja šī kārta ilgst vairāk par 30 kalendāra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57.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Šo noteikumu 57. punktā minētos dokumentus sagatavo atbilstoši normatīvajiem aktiem par elektronisko dokumentu noformēšanu un paraksta ar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Projektu uzraudzības periods ir pieci gadi, bet projektiem, kuru kopējā attiecināmo izmaksu summa nepārsniedz 50 000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trīs gadi. Projektu uzraudzības periodu nepiemēro projektiem, kuri ietver šo noteikumu 35.5. apakšpunktā vai tikai 33.5. vai 33.7. apakšpunktā minētās izmaksas vai par kuriem saņem šo noteikumu 27. punktā minēto fiksētas summas maksājumu "Jauniešu iniciatīvas". Projektiem, kuri saistīti tikai ar darbinieku produktivitātes kāpināšanu un uz kuriem attiecas šo noteikumu 16.5. apakšpunktā minētā prasība, uzraudzības periods ir 18 mēneši pēc pēdējā maksājuma pieprasījuma iesniegšanas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Ja projekta uzraudzības laikā sasniedzamie rādītāji netiek sasniegti, Lauku atbalsta dienests pieņem lēmumu par piešķirtā atbalsta atmaksu saskaņā ar normatīvajiem aktiem par valsts un Eiropas Savienības atbalsta piešķiršanas, administrēšanas un uzraudzības vispārējo kārtību lauku un zivsaimniecības attīstībai un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69.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Šo noteikumu 9.</w:t>
      </w:r>
      <w:r w:rsidR="00000000" w:rsidRPr="00000000" w:rsidDel="00000000">
        <w:rPr>
          <w:vertAlign w:val="superscript"/>
          <w:rtl w:val="0"/>
        </w:rPr>
        <w:t xml:space="preserve">1</w:t>
      </w:r>
      <w:r w:rsidR="00000000" w:rsidRPr="00000000" w:rsidDel="00000000">
        <w:rPr>
          <w:rtl w:val="0"/>
        </w:rPr>
        <w:t xml:space="preserve"> punktā minētajiem projektiem šo noteikumu 68. punktā minēto prasību uzskata par izpildītu, ja atbalsta saņēmējs ir iesniedzis pārskatu par atbilstošā projekta posmā īstenotajām darbībām un sasniegtajiem starprezultātiem (ja attiecināms) un tajā sniegtā informācija apliecina projekta īstenošanas uzsākšanu."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Lauku atbalsta dienests mēneša laikā pēc lēmuma pieņemšanas par projekta iesnieguma apstiprināšanu pārskaita atbalsta saņēmējam priekšfinansējumu 80 procentu apmērā no projekta iesniegumā apstiprinātā publiskā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72.2.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gala maksājumu 20 procentu apmērā atbalsta saņēmējs saņem pēc maksājuma pieprasījuma iesniegšanas Lauku atbalsta dienestā un visu projekta iesniegumā paredzēto darbību īstenošanas, kā arī rezultāta vai starprezultātu (ja attiecināms) sasniegšanas, apliecinot to ar pamatojošiem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ja sasniegtais rezultāts vai kāds no starprezultātiem neatbilst projektā apstiprinātajam rezultātam vai starprezultātam vai ir sasniegts daļēji, Lauku atbalsta dienests neapstiprina maksājuma pieprasījumā norādīto neatbilstošo projektā apstiprinātā rezultāta vai starprezultātu izdevumu summu un pieprasa atbalsta saņēmējam atmaksāt saņemto šo noteikumu 72.1. apakšpunktā minēto priekšfinansējumu par neatbilstošo izdevumu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Atbalsta saņēmējs pēdējo maksājumu saņem pēc atbilstošas A vai B kategorijas piesārņojošas darbības atļaujas vai C kategorijas piesārņojošas darbības apliecinājuma iegūšanas, ja šī prasība attiecas uz konkrēto projektā īstenoto darbību saskaņā ar normatīvajiem aktiem par piesārņojošo darbību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Papildināt ar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Atbalsta saņēmējs šo noteikumu 36.</w:t>
      </w:r>
      <w:r w:rsidR="00000000" w:rsidRPr="00000000" w:rsidDel="00000000">
        <w:rPr>
          <w:vertAlign w:val="superscript"/>
          <w:rtl w:val="0"/>
        </w:rPr>
        <w:t xml:space="preserve">1</w:t>
      </w:r>
      <w:r w:rsidR="00000000" w:rsidRPr="00000000" w:rsidDel="00000000">
        <w:rPr>
          <w:rtl w:val="0"/>
        </w:rPr>
        <w:t xml:space="preserve"> punktā minētajā gadījumā maksājuma pieprasījumam pievieno uzskaites veidlapu, kurā norādīts projektā nodarbinātā darbalaiks un paveiktais darbs, kas kvalificējams kā ieguldījums natūrā."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26-TA-459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noteikumu_(grozījumu)_projekts_26-TA-459.docx</dc:title>
</cp:coreProperties>
</file>

<file path=docProps/custom.xml><?xml version="1.0" encoding="utf-8"?>
<Properties xmlns="http://schemas.openxmlformats.org/officeDocument/2006/custom-properties" xmlns:vt="http://schemas.openxmlformats.org/officeDocument/2006/docPropsVTypes"/>
</file>