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oktobrī (prot. Nr. 41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Lāčplēša ielā 106, Rīgā, un Lāčplēša ielā 106, k-2,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0100 040 0149) – zemes vienību (zemes vienības kadastra apzīmējums 0100 040 0119) 0,5597 ha platībā un piecas būves (būvju kadastra apzīmējumi 0100 040 0021 001, 0100 040 0021 002, 0100 040 0021 004, 0100 040 0021 005 un 0100 040 0021 010) – Lāčplēša ielā 106, Rīgā, un Lāčplēša ielā 106, k-2, Rīgā, kas ierakstīts zemesgrāmatā uz valsts vārda Finanšu ministrijas personā, kopā ar sešām būvēm (būvju kadastra apzīmējumi 0100 040 0021 011, 0100 040 0021 013, 0100 040 0021 015, 0100 040 0021 016, 0100 040 0021 017 un 0100 040 0119 002)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25-TA-1979</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25-TA-1979</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rīkojuma_projekts_25-TA-1979.docx</dc:title>
</cp:coreProperties>
</file>

<file path=docProps/custom.xml><?xml version="1.0" encoding="utf-8"?>
<Properties xmlns="http://schemas.openxmlformats.org/officeDocument/2006/custom-properties" xmlns:vt="http://schemas.openxmlformats.org/officeDocument/2006/docPropsVTypes"/>
</file>