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153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11. martā (prot. Nr. 10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 19. panta</w:t>
      </w:r>
      <w:r w:rsidR="00000000" w:rsidRPr="00000000" w:rsidDel="00000000">
        <w:rPr>
          <w:rStyle w:val="paragraph"/>
          <w:i w:val="1"/>
          <w:rtl w:val="0"/>
        </w:rPr>
        <w:t xml:space="preserve">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(Latvijas Vēstnesis, 2024, 211.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Eiropas Savienības fondu 2021.–2027. gada plānošanas perioda vadības likuma 19. panta 13.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prasības Eiropas Reģionālās attīstības fonda projekta (turpmāk – projekts) iesniedzējam (turpmāk – projekta iesniedzējs)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finansējuma saņēmējs – projekta iesniedzējs, kas ir komersants (tai skaitā juridiskas personas ārvalstu filiāle, zemnieku saimniecība, kooperatīvā sabiedrība), kas atbilst sīkā (mikro), mazā vai vidējā saimnieciskās darbības subjekta statusam (saskaņā ar Eiropas Komisijas 2014. gada 17. jūnija Regulas (ES) Nr. 651/2014, ar ko noteiktas atbalsta kategorijas atzīst par saderīgām ar iekšējo tirgu, piemērojot Līguma 107. un 108. pantu (turpmāk – Komisijas regula Nr. 651/2014), 2. panta 2. punktu), maza vidēja kapitalizācijas sabiedrība (saskaņā ar Komisijas regulas Nr. 651/2014 2. panta 103."e" punktu), kā arī vidēja kapitalizācijas sabiedrība (saskaņā ar Eiropas Parlamenta un Padomes 2015. gada 25. jūnija Regulas (ES) Nr. 2015/1017 par Eiropas Stratēģisko investīciju fondu, Eiropas Investīciju konsultāciju centru un Eiropas Investīciju projektu portālu, ar ko groza Regulas (ES) Nr. 1291/2013 un (ES) Nr. 1316/2013 – Eiropas Stratēģisko investīciju fonds, 2. panta 7. punktu) un lielie saimnieciskās darbības veicēji (saskaņā ar Komisijas regulas Nr. 651/2014 2. panta 24. punktu) ar nosacījumu, ka pētniecības un inovāciju aktivitāšu īstenošanai tiek piesaistīti sīkie (mikro), mazie un vidējie komersanti, ar kuriem sadarbības iestāde noslēgusi līgumu par projekta īstenošanu (turpmāk – līgums par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sadarbības partneris – komersants, kas atbilst sīkā (mikro), mazā vai vidējā saimnieciskās darbības veicēja statusam, maza vai vidēja kapitalizācijas sabiedrība, lielais saimnieciskās darbības veicējs, kas reģistrēts Latvijas Republikas Komercreģistrā, vai pētniecības un zināšanu izplatīšanas organizācija, ar kuru sadarbībā projekta iesniedzējs plāno īstenot projektu un ar kuru projekta iesniedzējs noslēdzis sadarbības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Pasākuma ietvaros plānotais kopējais attiecināmais finansējums ir 29 365 499 </w:t>
      </w:r>
      <w:r w:rsidR="00000000" w:rsidRPr="00000000" w:rsidDel="00000000">
        <w:rPr>
          <w:i w:val="1"/>
          <w:rtl w:val="0"/>
        </w:rPr>
        <w:t xml:space="preserve">euro </w:t>
      </w:r>
      <w:r w:rsidR="00000000" w:rsidRPr="00000000" w:rsidDel="00000000">
        <w:rPr>
          <w:rtl w:val="0"/>
        </w:rPr>
        <w:t xml:space="preserve">(no tā elastības finansējums – 2 411 235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24 960 674 </w:t>
      </w:r>
      <w:r w:rsidR="00000000" w:rsidRPr="00000000" w:rsidDel="00000000">
        <w:rPr>
          <w:i w:val="1"/>
          <w:rtl w:val="0"/>
        </w:rPr>
        <w:t xml:space="preserve">euro </w:t>
      </w:r>
      <w:r w:rsidR="00000000" w:rsidRPr="00000000" w:rsidDel="00000000">
        <w:rPr>
          <w:rtl w:val="0"/>
        </w:rPr>
        <w:t xml:space="preserve">(no tā elastības finansējums – 2 049 550 </w:t>
      </w:r>
      <w:r w:rsidR="00000000" w:rsidRPr="00000000" w:rsidDel="00000000">
        <w:rPr>
          <w:i w:val="1"/>
          <w:rtl w:val="0"/>
        </w:rPr>
        <w:t xml:space="preserve">euro</w:t>
      </w:r>
      <w:r w:rsidR="00000000" w:rsidRPr="00000000" w:rsidDel="00000000">
        <w:rPr>
          <w:rtl w:val="0"/>
        </w:rPr>
        <w:t xml:space="preserve">) un valsts budžeta līdzfinansējums – 4 404 825 </w:t>
      </w:r>
      <w:r w:rsidR="00000000" w:rsidRPr="00000000" w:rsidDel="00000000">
        <w:rPr>
          <w:i w:val="1"/>
          <w:rtl w:val="0"/>
        </w:rPr>
        <w:t xml:space="preserve">euro </w:t>
      </w:r>
      <w:r w:rsidR="00000000" w:rsidRPr="00000000" w:rsidDel="00000000">
        <w:rPr>
          <w:rtl w:val="0"/>
        </w:rPr>
        <w:t xml:space="preserve">(no tā elastības finansējums – 361 685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Projektu iesniegumos pasākuma īstenošanai kopējo pasākumam pieejamo finansējumu plāno ne vairāk kā 26 954 264 </w:t>
      </w:r>
      <w:r w:rsidR="00000000" w:rsidRPr="00000000" w:rsidDel="00000000">
        <w:rPr>
          <w:i w:val="1"/>
          <w:rtl w:val="0"/>
        </w:rPr>
        <w:t xml:space="preserve">euro </w:t>
      </w:r>
      <w:r w:rsidR="00000000" w:rsidRPr="00000000" w:rsidDel="00000000">
        <w:rPr>
          <w:rtl w:val="0"/>
        </w:rPr>
        <w:t xml:space="preserve">apmērā, tai skaitā Eiropas Reģionālās attīstības fonda finansējumu – 22 911 124 </w:t>
      </w:r>
      <w:r w:rsidR="00000000" w:rsidRPr="00000000" w:rsidDel="00000000">
        <w:rPr>
          <w:i w:val="1"/>
          <w:rtl w:val="0"/>
        </w:rPr>
        <w:t xml:space="preserve">euro </w:t>
      </w:r>
      <w:r w:rsidR="00000000" w:rsidRPr="00000000" w:rsidDel="00000000">
        <w:rPr>
          <w:rtl w:val="0"/>
        </w:rPr>
        <w:t xml:space="preserve">apmērā un valsts budžeta finansējumu – 4 043 140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10.1.1.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"10.1.1. atbalstītie uzņēmumi (tai skaitā: mikrouzņēmumi, mazi, vidēji un lieli uzņēmumi) – 29;".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10.1.2.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"10.1.2. ar grantiem atbalstīto uzņēmumu skaits, tai skaitā mikrouzņēmumi, mazie, vidējie un lielie uzņēmumi – 29;".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projekta iesniedzējs projekta iesniegumu var iesniegt atlases nolikumā noteiktajā kārtībā un 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 tā apgrozījuma apjoms pēdējā noslēgtajā finanšu gadā līdz projekta iesnieguma iesniegšanai Kohēzijas politikas fondu vadības informācijas sistēmā (turpmāk – vadības informācijas sistēma) ir vismaz divas reizes lielāks par plānoto publisko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Šo noteikumu 14.4., 14.5., 14.6., 14.7. un 14.8. apakšpunktā minētās prasības attiecināmas arī uz sadarbības partneri (ja tāds tiek piesaistīts)."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Projekta iesniedzējs pasākuma ietvaros var iesniegt vienu projekta iesniegumu. Projekta iesniedzējam ir tiesības projekta īstenošanā piesaistīt sadarbības partnerus."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komersanta statusa apliecinājumu, ja projekta iesniedzējs vai sadarbības partneris ir komersants, kurš atbilst mazas vidējas kapitalizācijas sabiedrības vai vidējas kapitalizācijas sabiedrības statusam;".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19.4.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"19.4. sadarbības līgumu ar projekta sadarbības partneriem, ja tādi tiek piesaistīti;".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19.5.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"19.5. sadarbības līgumu vai nodomu protokolu, kas apliecina sadarbību ar ārvalstu partneriem, ja tādi tiek piesaistīti."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Pasākuma ietvaros finansējumu piešķir projekta iesniedzējam un sadarbības partnerim, kas plāno darbības vienā vai vairākās viedās specializācijas stratēģijas (turpmāk – RIS3)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Projekta iesniedzēja un sadarbības partnera sadarbības līgumā iekļauj vismaz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 sadarbības mērķus un principus;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 kritērijus, kas pamato sadarbības efektivitāti atbilstoši Komisijas regulas Nr. 651/2014 2. panta 90. punktā noteiktajai definīcijai,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3. plānoto kopējo sadarbības projekta finansējumu un katra sadarbības partnera projekta daļas finansējumu;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4. projekta finanšu plūsmas nodrošināšanas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5. tiesības uz projekta rezultātiem (tai skaitā uz intelektuālo īpašumu) proporcionāli katra sadarbības partnera ieguldījumam projekta īstenošanā;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6. sankcijas, ja netiek izpildītas sadarbības līgumā minētās saistības."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Pasākuma ietvaros par atbalstāmām darbībām uzskata un Eiropas Reģionālās attīstības fonda finansējumu piešķir darbībām, ko finansējuma saņēmējs un sadarbības partneris veic projekta ietvaros, lai veicinātu jaunu produktu, pakalpojumu un tehnoloģiju attīstību, kas atbilst vismaz vienam no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rūpnieciskajiem pētījumiem atbilstoši Komisijas regulas Nr. 651/2014 2. panta 85.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eksperimentālajām izstrādēm atbilstoši Komisijas regulas Nr. 651/2014 2. panta 86.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tehniski ekonomiskajai priekšizpētei projektiem, kuru kopsumma pārsniedz 250 000 </w:t>
      </w:r>
      <w:r w:rsidR="00000000" w:rsidRPr="00000000" w:rsidDel="00000000">
        <w:rPr>
          <w:i w:val="1"/>
          <w:rtl w:val="0"/>
        </w:rPr>
        <w:t xml:space="preserve">euro</w:t>
      </w:r>
      <w:r w:rsidR="00000000" w:rsidRPr="00000000" w:rsidDel="00000000">
        <w:rPr>
          <w:rtl w:val="0"/>
        </w:rPr>
        <w:t xml:space="preserve">, atbilstoši Komisijas regulas Nr. 651/2014 2. panta 87.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Atbalstu projekta iesniedzējam un sadarbības partnerim nepiešķir šādām nozarēm un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ieroču un munīcijas tirdzniecībai (Saimniecisko darbību statistiskās klasifikācijas Eiropas Kopienā 2.1. redakcija (turpmāk – NACE 2.1. red.) klase 47.63 "Sporta aprīkojuma mazumtirdzniecība");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azartspēlēm un derībām (NACE 2.1. red. 92. nodaļa "Azartspēles un derības");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 tabakas izstrādājumu ražošanai un tirdzniecībai (NACE 2.1. red. 12. nodaļa "Tabakas izstrādājumu ražošana", klase 46.35 "Tabakas izstrādājumu vairumtirdzniecība", klase 47.26 "Tabakas izstrādājumu mazumtirdzniecība" un klase 47.92 "Specializētas mazumtirdzniecības starpniecības pakalpojumi");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24.4. alkohola tirdzniecībai (NACE 2.1. red. klase 46.34 "Dzērienu vairumtirdzniecība", klase 47.25 "Dzērienu mazumtirdzniecība" un klase 47.92 "Specializētas mazumtirdzniecības starpniecības pakalpojumi");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24.5. operācijām ar nekustamo īpašumu (NACE 2.1. red. M sadaļa "Operācijas ar nekustamo īpašumu", grupa 68.1 "Operācijas ar savu nekustamo īpašumu un būvniecības projektu attīstīšana", klase 68.31 "Starpniecības pakalpojumi operācijās ar nekustamo īpašumu" un klase 68.32 "Citas operācijas ar nekustamo īpašumu uz līguma pamata vai par atlīdzību");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24.6. atkritumu savākšanai, apstrādei un izvietošanai, materiālu pārstrādei (NACE 2.1. red. grupa 38.3 "Atkritumu likvidēšana bez resursu atgūšanas");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 Komisijas regulas Nr. 651/2014 1. panta 2. punkta "c" un "d" apakšpunktā noteiktajām neatbalstāmajām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Ja projekta iesniedzējs vai sadarbības partneris darbojas kādā no neatbalstāmajām nozarēm, kas minētas šo noteikumu 24. punktā, komercdarbības atbalstu drīkst piešķirt tikai tad, ja atbalstāmās darbības un ar to īstenošanu saistītās finanšu plūsmas tiek skaidri nodalītas no citu darbības nozaru darbībām un finanšu plūsmām, nodrošinot, ka finansējuma saņēmējs izslēgtajās nozarēs negūst labumu no komercdarbības atbalsta."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Projekta iesniedzējs un sadarbības partneris projekta īstenošanai nepieciešamo privāto līdzfinansējumu nevar ieguldīt natūrā."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Projekta ietvaros ir attiecināmas šādas izmaksas, kas ir izmērāmas, samērīgas, pamatotas un atbilst pareizas finanšu vadības principiem saskaņā ar Eiropas Parlamenta un Padomes 2024. gada 23. septembra Regulas (ES, Euratom) 2024/2509 par finanšu noteikumiem, ko piemēro Savienības vispārējam budžetam (turpmāk – regula Nr. 2024/2509), 33. panta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 darba samaksa Darba likuma 59. panta izpratnē un atlīdzība par darba veikšanu, ņemot vērā darba apjomu un specifiku un tiešās personāla izmaksas iesaistītajiem speciālistiem, atbilst Komisijas regulas Nr. 651/2014 25. panta 3. punkta "a" apakšpunktam, projekta vadības personāla izmaksām, kas nepārsniedz 34 422 </w:t>
      </w:r>
      <w:r w:rsidR="00000000" w:rsidRPr="00000000" w:rsidDel="00000000">
        <w:rPr>
          <w:i w:val="1"/>
          <w:rtl w:val="0"/>
        </w:rPr>
        <w:t xml:space="preserve">euro </w:t>
      </w:r>
      <w:r w:rsidR="00000000" w:rsidRPr="00000000" w:rsidDel="00000000">
        <w:rPr>
          <w:rtl w:val="0"/>
        </w:rPr>
        <w:t xml:space="preserve">kalendāra gadā, pieskaitot 0,64 % no projekta tiešajām attiecināmajām izmaksām, neieskaitot tiešās projekta vadības personāla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 ar darba samaksu saistītās valsts sociālās apdrošināšanas obligātās iemaksas atbilst Komisijas regulas Nr. 651/2014 25. panta 3. punkta "a"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27.3. projekta īstenošanas personāla komandējuma (darba brauciena) izmaksas saskaņā ar normatīvajiem aktiem par kārtību, kādā atlīdzināmi ar komandējumiem saistītie izdevumi, atbilst Komisijas regulas Nr. 651/2014 25. panta 3. punkta "a"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27.4. komunālo pakalpojumu un sakaru pakalpojumu izmaksas, ciktāl tos izmanto rūpnieciskā pētījuma, eksperimentālās izstrādes vai tehniski ekonomiskās priekšizpētes darbībām, atbilst Komisijas regulas Nr. 651/2014 25. panta 3. punkta "e"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27.5. telpu nomas maksa atbilst Komisijas regulas Nr. 651/2014 25. panta 3. punkta "c"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27.6. instrumentu, iekārtu un to aprīkojuma iegādes un nomas maksa atbilst Komisijas regulas Nr. 651/2014 25. panta 3. punkta "b" apakšpunktam, ciktāl to izmanto rūpnieciskā pētījuma, eksperimentālās izstrādes vai tehniski ekonomiskās priekšizpētes darbībām un nepārsniedz tirgū noteikto cenu. Iekārtu iegādes izmaksas attiecināmas, ja pamatlīdzekļu izmantošanas laiks saskaņā ar finansējuma saņēmēja vai sadarbības partnera grāmatvedības politikā noteikto uzskaiti projekta ietvaros aptver visu šo pamatlīdzekļu lietderīgās lietošanas laiku. Ja pamatlīdzekļu izmantošanas laiks projekta ietvaros neaptver visu šo pamatlīdzekļu lietderīgās lietošanas laiku, izmaksas ir attiecināmas kā iekārtas amortizācijas izmaksas. Attiecināmā instrumentu, iekārtu un to aprīkojuma mēneša nomas maksa tiek pielīdzināta amortizācijas izmaksām, kādas tās būtu, ja instrumenti, iekārtas un to aprīkojums būtu finansējuma saņēmēja vai sadarbības partnera īpašumā. Izmaksām jāpiemēro tāda pati nolietojuma aprēķināšanas metode kā nomnieka īpašumā esošajiem pamatlīdzekļiem. Finansējuma saņēmējam un sadarbības partnerim jāiesniedz attiecīgie dokumenti, kas apliecina nomāto instrumentu, iekārtu un to aprīkojuma tirgus vērtību;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27.7. plānotās fizikālo, bioloģisko, ķīmisko un citu materiālu, kā arī izmēģinājuma dzīvnieku, reaktīvu, ķimikāliju, laboratorijas trauku, medikamentu, zinātniskās literatūras un mazvērtīgā inventāra iegādes izmaksas, tai skaitā piegādes izmaksas, ciktāl tos izmanto rūpnieciskā pētījuma, eksperimentālās izstrādes vai tehniski ekonomiskās priekšizpētes darbībām, atbilst Komisijas regulas Nr. 651/2014 25. panta 3. punkta "b"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27.8. izmaksas par līgumpētījumiem un patentiem, ciktāl tos izmanto rūpnieciskā pētījuma, eksperimentālās izstrādes vai tehniski ekonomiskās priekšizpētes darbībām, atbilst Komisijas regulas Nr. 651/2014 25. panta 3. punkta "d"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27.9. finansējuma saņēmēja un sadarbības partnera īpašumā esošo instrumentu, iekārtu un to aprīkojuma izmaksas un to amortizācijas izmaksas, finanšu nomā iegādāto iekārtu amortizācijas izmaksas, ciktāl tos izmanto rūpnieciskā pētījuma, eksperimentālās izstrādes vai tehniski ekonomiskās priekšizpētes darbībām, atbilst Komisijas regulas Nr. 651/2014 25. panta 3. punkta "b" apakšpunktam, patentu un licenču izmaksas un to amortizācijas izmaksas, ciktāl tos izmanto projektā, atbilst Komisijas regulas Nr. 651/2014 25. panta 3. punkta "d" apakšpunktam un finansējuma saņēmēja un sadarbības partnera īpašumā esošo ēku amortizācijas izmaksas un zemes komerciālās nodošanas izmaksas vai faktiski veikto kapitālieguldījumu izmaksas atbilst Komisijas regulas Nr. 651/2014 25. panta 3. punkta "c" apakšpunktam.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šā vai cita atbalsta pasākuma vai projekta ietvaros. Ja laiks, kamēr telpas, instrumentus, iekārtas, patentus un licences izmanto projektā, neaptver visu attiecīgo telpu, instrumentu, iekārtu, patentu un licenču lietderīgās lietošanas laiku, par attiecināmajām izmaksām uzskata tikai tādas amortizācijas izmaksas, kas atbilst projekta termiņam;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27.10. apdrošināšanas – veselības, dzīvības, transportlīdzekļu, īpašuma, iekārtu, civiltiesiskās atbildības un citas – izmaksas uz projekta īstenošanas laiku bez uzkrājuma veidošanas un iekļaušanas līguma par projekta īstenošanu tekstā atbilst Komisijas regulas Nr. 651/2014 25. panta 3. punkta "e" apakšpunktam. Ja projekts neaptver visu attiecīgās apdrošināšanas darbības laiku, attiecināmajās izmaksās iekļauj tādu daļu no apdrošināšanas izmaksām, kas atbilst projekta termiņam;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27.11. ārējo pakalpojumu izmaksas – juridiskie, grāmatvedības, testēšanas un izstrādes, projektu vadības, lietvedības un tulkošanas pakalpojumi, kurus finansējuma saņēmējs un sadarbības partneris iepērk no trešajām personām –, ja attiecīgie pakalpojumi tiek izmantoti tikai rūpnieciskā pētījuma, eksperimentālās izstrādes vai tehniski ekonomiskās priekšizpētes darbībām, atbilst Komisijas regulas Nr. 651/2014 25. panta 3. punkta "e"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27.12. komunikācijas un vizuālās identitātes pasākumu izmaksas atbilst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47. un 50. pantam un kārtībai, kādā Eiropas Savienības fondu vadībā iesaistītās institūcijas nodrošina šo fondu ieviešanu 2021.–2027. gada plānošanas periodā. Šajā punktā minētās izmaksas nav pakļautas komercdarbības atbalsta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27.13. datu iegādes izmaksas atbilst Komisijas regulas Nr. 651/201425. panta 3. punkta "d" apakšpunktam, un abonēšanas izmaksas atbilst Komisijas regulas Nr. 651/2014 25. panta 3. punkta "e" apakšpunktam, ciktāl tās attiecas uz rūpnieciskā pētījuma, eksperimentālās izstrādes vai tehniski ekonomiskās priekšizpētes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27.14. citas izmaksas, tostarp finansējuma saņēmēja un sadarbības partnera dalības maksa iesaistei starptautiskās pētniecības un attīstības programmās, platformās un iniciatīvās, dalības maksa tīklošanās un mobilitātes pasākumiem, starptautisko projektu sagatavošanas izmaksas, lai iesaistītos starptautiskos konsorcijos, atbilst Komisijas regulas Nr. 651/2014 25. panta 3. punkta "e" apakšpunktam, ciktāl tās attiecas uz rūpnieciskā pētījuma, eksperimentālās izstrādes vai tehniski ekonomiskās priekšizpētes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Neparedzētie izdevumi ir uzskatāmi par papildu izdevumiem vai sadārdzinājumu, kas radies projekta īstenošanas gaitā, un finansējuma saņēmējs un sadarbības partneris to sedz no saviem līdzekļiem, kas ir brīvi no komercdarbības atbalsta."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Iekārtas, kuras tiks nodotas finanšu nomā un kurām amortizācijas izmaksas aprēķina atbilstoši šo noteikumu 27.6. apakšpunktam, pēc nomas līguma termiņa beigām paliek finansējuma saņēmēja vai sadarbības partnera īpašumā."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Finansējuma saņēmējam un sadarbības partnerim, pērkot pakalpojumus no publiskām pētniecības un zināšanu izplatīšanas organizācijām, ir pienākums saņemt apliecinājumu no pakalpojuma sniedzēja, ka publiskās pētniecības un zināšanu izplatīšanas organizācijas grāmatvedības politikā ir iestrādāti zinātnisko pakalpojumu vērtības – tirgus cenas – noteikšanas principi."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33.3.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 finansējuma saņēmējs un sadarbības partneris pārliecinās, ka pamatdarbā vai citos līgumos noteiktie veicamie pienākumi nedublējas ar projektā veicamajiem pienākumiem;".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34.3.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pievienotās vērtības nodoklis, muitas nodokļi, nodevas un soda maksājumi, ko finansējuma saņēmējs un sadarbības partneris sedz no privātā līdzfinansējuma, nodalot visas šajā apakšpunktā minētās izmaksas un nodrošinot atsevišķu projekta izmaksu (tai skaitā pievienotās vērtības nodokļa izmaksu) uzskaiti;".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Finansējuma saņēmēja un sadarbības partnera attiecināmajās izmaksās iekļauj izmaksas tikai par tām projekta aktivitātēm, kuras projekta gala noslēguma maksājuma pieprasījuma iesniegšanas dienā būs pabeigtas. Starpposma un gala noslēguma maksājuma pieprasījuma attiecināmajās izmaksās iekļauj atbilstoši projekta iesniegumam faktiski veiktos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Dalības maksu starptautiskajās iniciatīvās attiecina tikai tad, ja tās atbilst šo noteikumu 27.14. apakšpunkta nosacījumiem un ja finansējuma saņēmēja un sadarbības partnera dalība tajās palīdzēs sasniegt definētos rezultātus un mērķus vai veicinās iesaisti jaunos starptautiskos projektos, vai ja finansējuma saņēmējam tiek noteikti jauni sasniedzamie rezultātu rādītāji saistībā ar dalību attiecīgajās starptautiskajās iniciatīvās."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Šo noteikumu 37.1.1. apakšpunktā minēto finansējuma intensitāti var palielināt par 10 procentiem, bet šo noteikumu 37.1.2., 37.1.3. un 37.2. apakšpunktā minēto intensitāti – par 15 procentiem saskaņā ar Komisijas regulas Nr. 651/2014 25. panta 6. punkta "b" apakšpunktu, ja finansējuma saņēmējs un sadarbības partneris to ir sākotnēji paredzējis projekta iesniegumā un ir izpildīts viens no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 projekta ietvaros ir efektīva sadarbība Komisijas regulas Nr. 651/2014 2. panta 90. punkta izpratnē ar vismaz vienu sīko (mikro), mazo vai vidējo komersantu, un viens komersants nesedz vairāk par 70 procentiem no kopējām attiecināmajām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 projekta ietvaros ir efektīva sadarbība Komisijas regulas Nr. 651/2014 2. panta 90. punkta izpratnē ar vismaz vienu pētniecības un zināšanu izplatīšanas organizāciju, un pētniecības un zināšanu izplatīšanas organizācija sedz vismaz 10 procentus no kopējām attiecināmajām izmaksām, un tai ir tiesības publicēt sava projekta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Šo noteikumu 37.1.1. apakšpunktā minēto finansējuma intensitāti var palielināt par 10 procentiem, šo noteikumu 37.1.2. apakšpunktā minēto finansējuma intensitāti – par 20 procentiem, bet šo noteikumu 37.1.3. un 37.2. apakšpunktā minēto finansējuma intensitāti – par 25 procentiem saskaņā ar Komisijas regulas Nr. 651/2014 25. panta 6. punkta "d" apakšpunktu, ja finansējuma saņēmējs un sadarbības partneris to ir paredzējis projekta iesniegumā."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Šo noteikumu 38. un 39. punktā minēto finansējuma intensitāti atbilstoši Komisijas regulas Nr. 651/2014 25. panta 6. punktam pēc projekta iesnieguma apstiprināšanas nevar palielināt un nedrīkst savstarpēji apvienot."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Finansējuma saņēmējs un sadarbības partneris nodrošina un pārliecinās, ka līdzfinansēto preču un pakalpojumu izmaksas atbilst tirgus cenai un nepastāv interešu konflikts piegādātāja vai pakalpojumu sniedzēja izvēlē. Īstenojot projektu, finansējuma saņēmējs un sadarbības partneris izvēlas preču piegādātāju vai pakalpojuma sniedzēju saskaņā ar normatīvajiem aktiem publisko iepirkumu jomā, īstenojot atklātu, pārredzamu, nediskriminējošu un konkurenci nodrošinošu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Izmaksas projekta ietvaros iespējams attiecināt līdz 2029. gada 31. decembrim. Ja finansējuma saņēmējam vai sadarbības partnerim projekta ietvaros izmaksas rodas pēc 2029. gada 31. decembra, tās tiek segtas no finansējuma saņēmēja vai sadarbības partnera līdzekļiem, kas ir brīvi no komercdarbības atbalsta."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47.7.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"47.7. atbilstoši regulas Nr. 2024/2509 61. pantam projekta īstenošanas laikā nodrošināt lēmumu objektivitāti, konfidencialitāti un interešu konflikta neesību, kā arī caurskatāmības un vienlīdzības principu, vienlaikus novēršot korupciju un krāpšanu;".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48.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Finansējuma saņēmējs un sadarbības partneris projekta īstenošanā iesaistās ar tā valdījumā vai īpašumā esošu mantu, intelektuālo īpašumu, finansējumu vai cilvēkresursiem. Šādu ieguldījumu rezultātā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Finansējuma saņēmējs un sadarbības partneris nodrošina projekta darbību īstenošanu un priekšfinansē projektā plānotās izmaksas no saviem līdzekļiem, izņemot gadījumu, ja projektā plānots avanss saskaņā ar šo noteikumu 50. punktu. Projekta īstenošanas laikā finansējuma saņēmējs var pieprasīt starpposma maksājumu par pabeigtajām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52.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Finansējuma saņēmējs un sadarbības partneris uzņemas risku visas ar projekta īstenošanu saistītās izmaksas segt no saviem līdzekļiem, ja sadarbības iestāde pieņem lēmumu par komercdarbības atbalsta nepiešķiršanu vai konstatē neatbilstības projekta īstenošanas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Projekta pārtraukšana pirms termiņa beigām ir atbalstāma, ja projekta īstenošanas gaitā finansējuma saņēmējs vai sadarbības partneris konstatē, ka nebūs iespējams pilnībā sasniegt projekta izvirzīto mērķi. Sadarbības iestāde, pamatojoties uz zinātniskās kvalitātes izvērtējumu, kuru sniedz Aizsardzības ministrija, izvērtē projekta rezultātus, iekļautās izmaksas un sasniegto rezultātu atbilstību projekta mērķim un plānotajām aktivitātēm. Projektā ietverto atsevišķu aktivitāšu izmaksas ir attiecināmas, ja aktivitātes ietvaros plānotā darbība ir pilnībā pabeigta atbilstoši projekta iesniegumam un līguma par projekta īstenošanu nosacījumiem. Izmaksas var tikt attiecinātas un iekļautas maksājuma pieprasījumā tikai par tādiem starpposmiem, kas projekta pārtraukšanas brīdī ir pabeigti."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Sadarbības iestāde projekta īstenošanas laikā nodrošina interešu konflikta nepieļaujamību saskaņā ar regulas Nr. 2024/2509 61. panta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Datums, kad sadarbības iestāde pieņēmusi lēmumu par komercdarbības atbalsta piešķiršanu finansējuma saņēmējam un sadarbības partnerim, uzskatāms par komercdarbības atbalsta piešķiršanas brīdi."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61.1.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projekta iesniedzējs vai sadarbības partneris atbilst Starptautisko un Latvijas Republikas nacionālo sankciju likuma 11.</w:t>
      </w:r>
      <w:r w:rsidR="00000000" w:rsidRPr="00000000" w:rsidDel="00000000">
        <w:rPr>
          <w:vertAlign w:val="superscript"/>
          <w:rtl w:val="0"/>
        </w:rPr>
        <w:t xml:space="preserve">2</w:t>
      </w:r>
      <w:r w:rsidR="00000000" w:rsidRPr="00000000" w:rsidDel="00000000">
        <w:rPr>
          <w:rtl w:val="0"/>
        </w:rPr>
        <w:t xml:space="preserve"> panta pirmajā daļā noteiktajām pazīmēm;".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61.3.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"61.3. finansējuma saņēmējs neatbilst šo noteikumu 14. punktā, bet  sadarbības partneris – šo noteikumu 14.4., 14.5., 14.6., 14.7. vai 14.8. apakšpunktā minētajiem atbilstības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Sadarbības iestāde uz projekta iesnieguma iesniegšanas brīdi vērtē projekta iesniedzēja un sadarbības partnera atbilstību Komisijas regulas Nr. 651/2014 1. panta 4. punkta "a"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Izteikt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Finansējuma saņēmējs un sadarbības partneris projekta ietvaros nedrīkst izmantot pētniecības iekārtas, kas iepirktas citu ar saimniecisko darbību nesaistītu projektu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Izteikt 66.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Ja tiek pārkāpti Komisijas regulas Nr. 651/2014 nosacījumi, finansējuma saņēmējam un sadarbības partnerim ir pienākums atmaksāt sadarbības iestādei projekta ietvaros saņemto nelikumīgo komercdarbības atbalstu no līdzekļiem, kas ir brīvi no komercdarbības atbalsta, kopā ar procentiem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Izteikt 67.1.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"67.1. finansējuma saņēmējs un sadarbības partneris nodrošina informācijas pieejamību un dokumentu glabāšanu 10 gadus, sākot no komercdarbības atbalsta piešķiršanas brīža;".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Izteikt 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Sadarbības iestāde lēmumus par komercdarbības atbalsta piešķiršanu finansējuma saņēmējam un sadarbības partnerim var pieņemt līdz Komisijas regulas Nr. 651/2014 58. panta 4. punktā noteiktajam termiņam."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25-TA-162</w:t>
    </w:r>
    <w:r>
      <w:br/>
    </w:r>
    <w:r w:rsidR="00000000" w:rsidRPr="00000000" w:rsidDel="00000000">
      <w:rPr>
        <w:rtl w:val="0"/>
      </w:rPr>
      <w:t xml:space="preserve">Izdrukāts 29.07.2026. 23.45 - 1.0.VK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25-TA-162</w:t>
    </w:r>
    <w:r>
      <w:br/>
    </w:r>
    <w:r w:rsidR="00000000" w:rsidRPr="00000000" w:rsidDel="00000000">
      <w:rPr>
        <w:rtl w:val="0"/>
      </w:rPr>
      <w:t xml:space="preserve">Izdrukāts 29.07.2026. 23.45 - 1.0.VK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noteikumu_(grozījumu)_projekts_25-TA-162.docx</dc:title>
</cp:coreProperties>
</file>

<file path=docProps/custom.xml><?xml version="1.0" encoding="utf-8"?>
<Properties xmlns="http://schemas.openxmlformats.org/officeDocument/2006/custom-properties" xmlns:vt="http://schemas.openxmlformats.org/officeDocument/2006/docPropsVTypes"/>
</file>