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 mācību sasniegumu vērtēšana 10 ballu skalā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sasniedzamajam rezultātam vērtē saskaņā 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atbalsta nepieciešamība;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Skolēna sniegumu vērtē četros līmeņos atbilstoši šā pielikuma 1. punktā minētajiem kritērijiem un izsaka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Nosakot vērtējumu 10 ballu skalā, kritērijus izvērtē kopumā. Augstāku vērtējumu viena līmeņa ietvaros nosaka, ja skolēna sniegums atbilst visiem attiecīgā līmeņa kritērijiem. 10 ballu skalas atbilstība katram no četriem snieguma līmeņiem noteikta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
        <w:gridCol w:w="1298"/>
        <w:gridCol w:w="2089"/>
        <w:gridCol w:w="2089"/>
        <w:gridCol w:w="1723"/>
        <w:gridCol w:w="1774"/>
        <w:gridCol w:w="1638"/>
        <w:tblGridChange w:id="0">
          <w:tblGrid>
            <w:gridCol w:w="216"/>
            <w:gridCol w:w="1298"/>
            <w:gridCol w:w="2089"/>
            <w:gridCol w:w="2089"/>
            <w:gridCol w:w="1723"/>
            <w:gridCol w:w="1774"/>
            <w:gridCol w:w="1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Pedagogs 10 ballu skalu piemēro summatīvās vērtēšanas darbiem, ko veido saskaņā ar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summatīvās vērtēšanas darbam jābūt tādam, lai var iegūt drošu (atkārtojot mērījumu, iegūst tādus pašus rezultātus) un ticamu rezultātu (vērtē to, sasniedzamo rezultātu apguvi, kuri tika mācīti proporcionāli mācību procesā veltītajam 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skolēnam ir iespēja demonstrēt sniegumu, kas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summatīvās vērtēšanas darbā kopumā ir sabalansētas iespējas demonstrēt prasmes gan tipveida, gan nepazīstamā situācijā, dažādos kontekstos un  skolēna izziņas darbības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lielāks punktu skaits tiek piešķirts būtiskajiem sasniedzamajiem rezultātiem un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Skolēna mācību sasniegumu vērtējumu mācību priekšmetā 10 ballu skalā atbilstoši šiem noteikumiem, plānotajiem skolēnam sasniedzamajiem rezultātiem mācību jomā, kā arī mācību priekšmeta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noteikumu_konsolidētā_versija_p10_22-TA-2947.docx</dc:title>
</cp:coreProperties>
</file>

<file path=docProps/custom.xml><?xml version="1.0" encoding="utf-8"?>
<Properties xmlns="http://schemas.openxmlformats.org/officeDocument/2006/custom-properties" xmlns:vt="http://schemas.openxmlformats.org/officeDocument/2006/docPropsVTypes"/>
</file>