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mazākumtautību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21011121, 11011121, 21011123, 21011124, 23011121, 23011123, 23011124)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mazākumtautību programmas (turpmāk – izglītības programma) mērķis ir nodrošināt skolēna vispusīgu attīstību un vērtīborientāciju, lai skolēns gribētu un valsts valodā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r w:rsidR="00000000" w:rsidRPr="00000000" w:rsidDel="00000000">
        <w:rPr>
          <w:b w:val="1"/>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iestāde skolēnam izstrādā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iestāde nodrošina normatīvajos aktos noteiktajām higiēnas prasībām atbilstošu mācību procesu, iekļaujošu, intelektuālo un sociāli emocionālo attīstību un veselību veicinošu, fiziski un emocionāli drošu mācību vidi, kas atbilst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noteikumu_konsolidētā_versija_p12_22-TA-2947.docx</dc:title>
</cp:coreProperties>
</file>

<file path=docProps/custom.xml><?xml version="1.0" encoding="utf-8"?>
<Properties xmlns="http://schemas.openxmlformats.org/officeDocument/2006/custom-properties" xmlns:vt="http://schemas.openxmlformats.org/officeDocument/2006/docPropsVTypes"/>
</file>