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administrē un uzrauga valsts un Eiropas Savienības atbalstu biškopībai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biškopībai (turpmāk – atbalsta finansējums) plānošanas periodā 2023.–2027.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tiek īstenoti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r w:rsidR="00000000" w:rsidRPr="00000000" w:rsidDel="00000000">
        <w:rPr>
          <w:rtl w:val="0"/>
        </w:rPr>
        <w:t xml:space="preserve">1305/2013</w:t>
      </w:r>
      <w:r w:rsidR="00000000" w:rsidRPr="00000000" w:rsidDel="00000000">
        <w:rPr>
          <w:rtl w:val="0"/>
        </w:rPr>
        <w:t xml:space="preserve"> un (ES) Nr. 1307/2013 (turpmāk – regula  </w:t>
      </w:r>
      <w:r w:rsidR="00000000" w:rsidRPr="00000000" w:rsidDel="00000000">
        <w:rPr>
          <w:rtl w:val="0"/>
        </w:rPr>
        <w:t xml:space="preserve">2021/2115</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 decembra Regulai (ES) Nr. 2021/2116 par kopējās lauksaimniecības politikas finansēšanu, pārvaldību un uzraudzību un ar ko atceļ Regulu (ES) Nr.  </w:t>
      </w:r>
      <w:r w:rsidR="00000000" w:rsidRPr="00000000" w:rsidDel="00000000">
        <w:rPr>
          <w:rtl w:val="0"/>
        </w:rPr>
        <w:t xml:space="preserve">1306/2013</w:t>
      </w:r>
      <w:r w:rsidR="00000000" w:rsidRPr="00000000" w:rsidDel="00000000">
        <w:rPr>
          <w:rtl w:val="0"/>
        </w:rPr>
        <w:t xml:space="preserve"> (turpmāk – regula 2021/2116);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2021. gada 7. decembra Deleģētajai regulai (ES)  </w:t>
      </w:r>
      <w:r w:rsidR="00000000" w:rsidRPr="00000000" w:rsidDel="00000000">
        <w:rPr>
          <w:rtl w:val="0"/>
        </w:rPr>
        <w:t xml:space="preserve">2022/126</w:t>
      </w:r>
      <w:r w:rsidR="00000000" w:rsidRPr="00000000" w:rsidDel="00000000">
        <w:rPr>
          <w:rtl w:val="0"/>
        </w:rPr>
        <w:t xml:space="preserve">, ar ko Eiropas Parlamenta un Padomes Regulu (ES)  </w:t>
      </w:r>
      <w:r w:rsidR="00000000" w:rsidRPr="00000000" w:rsidDel="00000000">
        <w:rPr>
          <w:rtl w:val="0"/>
        </w:rPr>
        <w:t xml:space="preserve">2021/2115</w:t>
      </w:r>
      <w:r w:rsidR="00000000" w:rsidRPr="00000000" w:rsidDel="00000000">
        <w:rPr>
          <w:rtl w:val="0"/>
        </w:rPr>
        <w:t xml:space="preserve">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(turpmāk – regula  </w:t>
      </w:r>
      <w:r w:rsidR="00000000" w:rsidRPr="00000000" w:rsidDel="00000000">
        <w:rPr>
          <w:rtl w:val="0"/>
        </w:rPr>
        <w:t xml:space="preserve">2022/126</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2022. gada 7. decembra Deleģētajai regulai (ES)  </w:t>
      </w:r>
      <w:r w:rsidR="00000000" w:rsidRPr="00000000" w:rsidDel="00000000">
        <w:rPr>
          <w:rtl w:val="0"/>
        </w:rPr>
        <w:t xml:space="preserve">2022/127</w:t>
      </w:r>
      <w:r w:rsidR="00000000" w:rsidRPr="00000000" w:rsidDel="00000000">
        <w:rPr>
          <w:rtl w:val="0"/>
        </w:rPr>
        <w:t xml:space="preserve">, ar ko Eiropas Parlamenta un Padomes Regulu (ES)  </w:t>
      </w:r>
      <w:r w:rsidR="00000000" w:rsidRPr="00000000" w:rsidDel="00000000">
        <w:rPr>
          <w:rtl w:val="0"/>
        </w:rPr>
        <w:t xml:space="preserve">2021/2116</w:t>
      </w:r>
      <w:r w:rsidR="00000000" w:rsidRPr="00000000" w:rsidDel="00000000">
        <w:rPr>
          <w:rtl w:val="0"/>
        </w:rPr>
        <w:t xml:space="preserve"> papildina ar noteikumiem par maksājumu aģentūrām un citām struktūrām, finanšu pārvaldību, grāmatojumu noskaidrošanu, nodrošinājumiem un </w:t>
      </w:r>
      <w:r w:rsidR="00000000" w:rsidRPr="00000000" w:rsidDel="00000000">
        <w:rPr>
          <w:i w:val="1"/>
          <w:rtl w:val="0"/>
        </w:rPr>
        <w:t xml:space="preserve">euro</w:t>
      </w:r>
      <w:r w:rsidR="00000000" w:rsidRPr="00000000" w:rsidDel="00000000">
        <w:rPr>
          <w:rtl w:val="0"/>
        </w:rPr>
        <w:t xml:space="preserve"> izmantošanu (turpmāk – regula  </w:t>
      </w:r>
      <w:r w:rsidR="00000000" w:rsidRPr="00000000" w:rsidDel="00000000">
        <w:rPr>
          <w:rtl w:val="0"/>
        </w:rPr>
        <w:t xml:space="preserve">2022/127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2022. gada 6. septembra Īstenošanas regulai (ES)  </w:t>
      </w:r>
      <w:r w:rsidR="00000000" w:rsidRPr="00000000" w:rsidDel="00000000">
        <w:rPr>
          <w:rtl w:val="0"/>
        </w:rPr>
        <w:t xml:space="preserve">2022/1475</w:t>
      </w:r>
      <w:r w:rsidR="00000000" w:rsidRPr="00000000" w:rsidDel="00000000">
        <w:rPr>
          <w:rtl w:val="0"/>
        </w:rPr>
        <w:t xml:space="preserve">, ar ko nosaka sīki izstrādātus noteikumus par to, kā Eiropas Parlamenta un Padomes Regulu (ES)  </w:t>
      </w:r>
      <w:r w:rsidR="00000000" w:rsidRPr="00000000" w:rsidDel="00000000">
        <w:rPr>
          <w:rtl w:val="0"/>
        </w:rPr>
        <w:t xml:space="preserve">2021/2115</w:t>
      </w:r>
      <w:r w:rsidR="00000000" w:rsidRPr="00000000" w:rsidDel="00000000">
        <w:rPr>
          <w:rtl w:val="0"/>
        </w:rPr>
        <w:t xml:space="preserve"> īsteno attiecībā uz KLP stratēģisko plānu izvērtēšanu un uzraudzībai un izvērtēšanai vajadzīgās informācijas sniegšanu (turpmāk – regula  </w:t>
      </w:r>
      <w:r w:rsidR="00000000" w:rsidRPr="00000000" w:rsidDel="00000000">
        <w:rPr>
          <w:rtl w:val="0"/>
        </w:rPr>
        <w:t xml:space="preserve">2022/1475</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2022. gada 16. jūnija Deleģētajai regulai (ES)  </w:t>
      </w:r>
      <w:r w:rsidR="00000000" w:rsidRPr="00000000" w:rsidDel="00000000">
        <w:rPr>
          <w:rtl w:val="0"/>
        </w:rPr>
        <w:t xml:space="preserve">2022/1408</w:t>
      </w:r>
      <w:r w:rsidR="00000000" w:rsidRPr="00000000" w:rsidDel="00000000">
        <w:rPr>
          <w:rtl w:val="0"/>
        </w:rPr>
        <w:t xml:space="preserve">, ar kuru attiecībā uz avansa maksājumiem par noteiktām intervencēm un atbalsta pasākumiem, kas paredzēti Eiropas Parlamenta un Padomes Regulās (ES)  </w:t>
      </w:r>
      <w:r w:rsidR="00000000" w:rsidRPr="00000000" w:rsidDel="00000000">
        <w:rPr>
          <w:rtl w:val="0"/>
        </w:rPr>
        <w:t xml:space="preserve">2021/2115</w:t>
      </w:r>
      <w:r w:rsidR="00000000" w:rsidRPr="00000000" w:rsidDel="00000000">
        <w:rPr>
          <w:rtl w:val="0"/>
        </w:rPr>
        <w:t xml:space="preserve"> un (ES) Nr. 1308/2013, groza Eiropas Parlamenta un Padomes Regulu (ES)  </w:t>
      </w:r>
      <w:r w:rsidR="00000000" w:rsidRPr="00000000" w:rsidDel="00000000">
        <w:rPr>
          <w:rtl w:val="0"/>
        </w:rPr>
        <w:t xml:space="preserve">2021/2116</w:t>
      </w:r>
      <w:r w:rsidR="00000000" w:rsidRPr="00000000" w:rsidDel="00000000">
        <w:rPr>
          <w:rtl w:val="0"/>
        </w:rPr>
        <w:t xml:space="preserve"> (turpmāk – regula  </w:t>
      </w:r>
      <w:r w:rsidR="00000000" w:rsidRPr="00000000" w:rsidDel="00000000">
        <w:rPr>
          <w:rtl w:val="0"/>
        </w:rPr>
        <w:t xml:space="preserve">2022/1408</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2022. gada 31. oktobra Deleģētajai regulai (ES)  </w:t>
      </w:r>
      <w:r w:rsidR="00000000" w:rsidRPr="00000000" w:rsidDel="00000000">
        <w:rPr>
          <w:rtl w:val="0"/>
        </w:rPr>
        <w:t xml:space="preserve">2023/57</w:t>
      </w:r>
      <w:r w:rsidR="00000000" w:rsidRPr="00000000" w:rsidDel="00000000">
        <w:rPr>
          <w:rtl w:val="0"/>
        </w:rPr>
        <w:t xml:space="preserve">, ar kuru groza un labo Deleģēto regulu (ES)  </w:t>
      </w:r>
      <w:r w:rsidR="00000000" w:rsidRPr="00000000" w:rsidDel="00000000">
        <w:rPr>
          <w:rtl w:val="0"/>
        </w:rPr>
        <w:t xml:space="preserve">2022/127</w:t>
      </w:r>
      <w:r w:rsidR="00000000" w:rsidRPr="00000000" w:rsidDel="00000000">
        <w:rPr>
          <w:rtl w:val="0"/>
        </w:rPr>
        <w:t xml:space="preserve">, kas papildina Eiropas Parlamenta un Padomes Regulu (ES)  </w:t>
      </w:r>
      <w:r w:rsidR="00000000" w:rsidRPr="00000000" w:rsidDel="00000000">
        <w:rPr>
          <w:rtl w:val="0"/>
        </w:rPr>
        <w:t xml:space="preserve">2021/2116</w:t>
      </w:r>
      <w:r w:rsidR="00000000" w:rsidRPr="00000000" w:rsidDel="00000000">
        <w:rPr>
          <w:rtl w:val="0"/>
        </w:rPr>
        <w:t xml:space="preserve"> (turpmāk – regula  </w:t>
      </w:r>
      <w:r w:rsidR="00000000" w:rsidRPr="00000000" w:rsidDel="00000000">
        <w:rPr>
          <w:rtl w:val="0"/>
        </w:rPr>
        <w:t xml:space="preserve">2023/57</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(turpmāk – dienests) piešķir, administrē un uzrauga atbalsta finansējuma izlietošanu, kā arī veic pārbaudes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un regulas  </w:t>
      </w:r>
      <w:r w:rsidR="00000000" w:rsidRPr="00000000" w:rsidDel="00000000">
        <w:rPr>
          <w:rtl w:val="0"/>
        </w:rPr>
        <w:t xml:space="preserve">2021/2116</w:t>
      </w:r>
      <w:r w:rsidR="00000000" w:rsidRPr="00000000" w:rsidDel="00000000">
        <w:rPr>
          <w:rtl w:val="0"/>
        </w:rPr>
        <w:t xml:space="preserve"> 59. pantam.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finansējumu piešķir par katru gadu laikposmā no kārtējā gada 1. augusta līdz nākamā gada 31. jūlijam (turpmāk – biškopības gads) īstenotajiem regulas </w:t>
      </w:r>
      <w:r w:rsidR="00000000" w:rsidRPr="00000000" w:rsidDel="00000000">
        <w:rPr>
          <w:rtl w:val="0"/>
        </w:rPr>
        <w:t xml:space="preserve">2021/2115</w:t>
      </w:r>
      <w:r w:rsidR="00000000" w:rsidRPr="00000000" w:rsidDel="00000000">
        <w:rPr>
          <w:rtl w:val="0"/>
        </w:rPr>
        <w:t xml:space="preserve"> 55. panta 1. punktā minētajiem šādiem intervenču veidiem (turpmāk – intervences):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konsultāciju pakalpojumi, tehniskā palīdzība, apmācība, informācijas un paraugprakses apmaiņa, tostarp ar tīklošanas palīdzību, biškopjiem un biškopju organizācijām;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materiālos un nemateriālos aktīvos un citi pasākumi, kas vērsti arī uz bišu parazītu un slimību, īpaši varrozes, apkarošanu;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materiālos un nemateriālos aktīvos un citi pasākumi, kas vērsti arī uz nelabvēlīgu klimatisko apstākļu nodarīta kaitējuma novēršanu un mainīgajiem klimatiskajiem apstākļiem piemērotu apsaimniekošanas prakšu izstrādes un izmantošanas veicināšanu;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materiālos un nemateriālos aktīvos un citi pasākumi, kas vērsti arī uz bišu skaita atjaunināšanu stropos Eiropas Savienībā, tostarp bišu audzēšanu;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 ar specializētām struktūrām, lai īstenotu pētniecības programmas biškopības un biškopības produktu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noieta veicināšanas, saziņas un mārketinga, tostarp tirgus uzraudzības, pasākumi, kuru mērķis ir uzlabot patērētāju informētību par biškopības produktu kvalitāti;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produktu kvalitāti uzlabojoši pasākumi.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atbalsta finansējumu izmaksā katru gadu laikposmā no kārtējā gada 16. oktobra līdz nākamā gada 15. oktobrim (turpmāk – finanšu gads) par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 intervenču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katru gadu līdz 10. jūnijam iesniedz Zemkopības ministrijā pārskatu par kopējiem publiskiem izdevumiem (</w:t>
      </w:r>
      <w:r w:rsidR="00000000" w:rsidRPr="00000000" w:rsidDel="00000000">
        <w:rPr>
          <w:i w:val="1"/>
          <w:rtl w:val="0"/>
        </w:rPr>
        <w:t xml:space="preserve">euro</w:t>
      </w:r>
      <w:r w:rsidR="00000000" w:rsidRPr="00000000" w:rsidDel="00000000">
        <w:rPr>
          <w:rtl w:val="0"/>
        </w:rPr>
        <w:t xml:space="preserve">), kas radušies finanšu gadā, sadalījumā pa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intervencēm. Pārskatu sagatavo saskaņā ar regulas 2022/1475 V pielikuma 9. punkta  B.2 veidlapu.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Zemkopības ministrija pilda regulas  </w:t>
      </w:r>
      <w:r w:rsidR="00000000" w:rsidRPr="00000000" w:rsidDel="00000000">
        <w:rPr>
          <w:rtl w:val="0"/>
        </w:rPr>
        <w:t xml:space="preserve">2022/1475</w:t>
      </w:r>
      <w:r w:rsidR="00000000" w:rsidRPr="00000000" w:rsidDel="00000000">
        <w:rPr>
          <w:rtl w:val="0"/>
        </w:rPr>
        <w:t xml:space="preserve"> 15. panta 3. punktā noteiktās dalībvalsts funkcijas.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Pieteikšanās atbalsta finansējumam, atbalsta iesnieguma, starpposma atbalsta maksājuma pieprasījuma un gala atbalsta maksājuma pieprasījuma vērtēšana, lēmuma pieņemšana un lēmuma paziņošana atbalsta saņēmējam notiek saskaņā ar normatīvajiem aktiem par valsts un Eiropas Savienības atbalsta piešķiršanas, administrēšanas un uzraudzības kārtību lauku un zivsaimniecības attīstībai, ciktāl šie noteikumi nenosaka citādi.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finansējuma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finansējuma saņemšanas pretendents ir biedrība vai nodibinājums (turpmāk – atbalsta pretendents), kas reģistrēts atbilstoši normatīvajiem aktiem par biedrību un nodibinājumu reģistrēšanu un atbilst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trīs gadus darbojas biškopības nozarē;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intervences īstenošanai ir piesaistīts biškopības speciālists ar augstāko izglītību lauksaimniecībā (laukkopības, dārzkopības, lopkopības vai veterinārmedicīnas speciālists), kurš apguvis studiju kursu biškopībā, vai biškopības speciālists, kurš ieguvis vidējo profesionālo izglītību biškopībā, vai persona, kura augstākajā mācību iestādē ir apguvusi profesionālās pilnveides izglītības (mūžizglītības) programmu "Biškopība";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iepriekšēja darbības pieredze biškopībā – teorētiskās un praktiskās apmācības pakalpojumu sniegšanā, profesionāli izglītojošo un informatīvo drukāto materiālu izdošanā, starptautiskajā sadarbībā ar profesionālajām biškopības organizācijām;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 biškopības nozari un tās vajadzības, īstenojot intervences biškopju labā. Biškopības nozare ir pārstāvēta, ja atbalsta pretendenta biedru biškopju reģistrētais bišu saimju (stropu) skaits ir vismaz 10 procenti no kopējā valstī reģistrētā bišu saimju skaita atbilstoši Lauksaimniecības datu centra datiem pēc stāvokļa iepriekšējā gada 1. novembrī;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iesaistīts ģenētisko resursu saglabāšanā, ilgtspējīgā izmantošanā un attīstībā biškopībā un ir izstrādājis atbilstošu ģenētisko resursu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pieteiktos atbalsta finansējumam, atbalsta pretendents, izmantojot dienesta elektronisko pieteikšanās sistēmu, kurā notiek arī informācijas apmaiņa par atbalsta finansējumu, iesniedz atbalsta iesniegumu (turpmāk – atbalsta iesniegums):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20. aprīlim – par vienu vai vairākām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intervencēm, kuras plānots īstenot 2023. gada finanšu gadā laikposmā no 1. janvāra līdz 15. oktobrim;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turpmāk katru gadu no 15. jūnija līdz 15. jūlijam – par vienu vai vairākām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minētajām intervencēm, kuras plānots īstenot nākamajā biškopības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minētajā atbalsta iesniegumā ietver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 nosaukumu, darbības veidu, biedrības reģistrācijas numuru un klienta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kontaktinformāciju – juridisko adresi, tālruņa numuru un elektroniskā pasta adresi vai oficiālo elektronisko adresi, ja personai ir aktivizēts oficiālās elektroniskās adreses konts;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 bankas rekvizītus;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kontaktpersonas vārdu, uzvārdu, tālruņa numuru un elektroniskā pasta adresi vai oficiālo elektronisko adresi, ja personai ir aktivizēts oficiālās elektroniskās adreses konts;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intervencēm, par kurām atbalsta pretendents iesniedz atbalsta iesniegumu: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iesnieguma mērķi un vajadzības atbilstoši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intervencēm;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ar kurām plānots sasniegt šo noteikumu </w:t>
      </w:r>
      <w:r w:rsidR="00000000" w:rsidRPr="00000000" w:rsidDel="00000000">
        <w:rPr>
          <w:rtl w:val="0"/>
        </w:rPr>
        <w:t xml:space="preserve">10.5.1.</w:t>
      </w:r>
      <w:r w:rsidR="00000000" w:rsidRPr="00000000" w:rsidDel="00000000">
        <w:rPr>
          <w:rtl w:val="0"/>
        </w:rPr>
        <w:t xml:space="preserve"> apakšpunktā</w:t>
      </w:r>
      <w:r w:rsidR="00000000" w:rsidRPr="00000000" w:rsidDel="00000000">
        <w:rPr>
          <w:rtl w:val="0"/>
        </w:rPr>
        <w:t xml:space="preserve"> paredzēto mērķi un apmierināt vajadzības;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plānotos sasniedzamos rezultatīvos rādītājus šo noteikumu </w:t>
      </w:r>
      <w:r w:rsidR="00000000" w:rsidRPr="00000000" w:rsidDel="00000000">
        <w:rPr>
          <w:rtl w:val="0"/>
        </w:rPr>
        <w:t xml:space="preserve">10.5.2.</w:t>
      </w:r>
      <w:r w:rsidR="00000000" w:rsidRPr="00000000" w:rsidDel="00000000">
        <w:rPr>
          <w:rtl w:val="0"/>
        </w:rPr>
        <w:t xml:space="preserve"> apakšpunktā</w:t>
      </w:r>
      <w:r w:rsidR="00000000" w:rsidRPr="00000000" w:rsidDel="00000000">
        <w:rPr>
          <w:rtl w:val="0"/>
        </w:rPr>
        <w:t xml:space="preserve"> paredzētajām darbībām;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minēto intervenču kopīgo iznākuma rādītāju;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intervences īstenošanas laika grafiku;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izmaksu tāmi – attiecināmās izmaksas </w:t>
      </w:r>
      <w:r w:rsidR="00000000" w:rsidRPr="00000000" w:rsidDel="00000000">
        <w:rPr>
          <w:i w:val="1"/>
          <w:rtl w:val="0"/>
        </w:rPr>
        <w:t xml:space="preserve">euro </w:t>
      </w:r>
      <w:r w:rsidR="00000000" w:rsidRPr="00000000" w:rsidDel="00000000">
        <w:rPr>
          <w:rtl w:val="0"/>
        </w:rPr>
        <w:t xml:space="preserve">atbilstoši katrai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minētajai intervencei;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kopējo summu un atbalsta finansējuma sadalījumu pa finanšu avotiem – Eiropas Savienības līdzfinansējums (</w:t>
      </w:r>
      <w:r w:rsidR="00000000" w:rsidRPr="00000000" w:rsidDel="00000000">
        <w:rPr>
          <w:i w:val="1"/>
          <w:rtl w:val="0"/>
        </w:rPr>
        <w:t xml:space="preserve">euro</w:t>
      </w:r>
      <w:r w:rsidR="00000000" w:rsidRPr="00000000" w:rsidDel="00000000">
        <w:rPr>
          <w:rtl w:val="0"/>
        </w:rPr>
        <w:t xml:space="preserve">) un Latvijas valsts līdzfinansējums (</w:t>
      </w:r>
      <w:r w:rsidR="00000000" w:rsidRPr="00000000" w:rsidDel="00000000">
        <w:rPr>
          <w:i w:val="1"/>
          <w:rtl w:val="0"/>
        </w:rPr>
        <w:t xml:space="preserve">euro</w:t>
      </w:r>
      <w:r w:rsidR="00000000" w:rsidRPr="00000000" w:rsidDel="00000000">
        <w:rPr>
          <w:rtl w:val="0"/>
        </w:rPr>
        <w:t xml:space="preserve">) atbilstoši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intervencēm;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citiem iesniegtajiem pieteikumiem vai projektiem finansējuma saņemšanai no citiem Eiropas Savienības fondiem, valsts vai pašvaldības, norādot, vai iesniegums ir saistīts ar attiecīgajiem pieteikumiem vai projektiem;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iesnieguma īstenošanas riska faktorus;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pavaddokumentus – intervences īstenošanā iesaistītās personas izglītību apliecinoša dokumenta apliecinātu kopiju vai tā oriģinālu (uzrādīšanai), pārskatu, kurā ir apkopota iepriekšējās darbības pieredze, kas saistīta ar teorētisko un praktisko apmācības pakalpojumu sniegšanu biškopības jomā, to biškopju sarakstu, kas ir biškopības biedrību vai nodibinājumu biedri, un medusbišu ģenētisko resursu plāna kopiju, kā arī citus saistošos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pretendents kopā ar atbalsta iesniegumu iesniedz atbalsta pretendenta deklarāciju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ar kuru apliecina minēto nosacījumu ievērošanu, informāciju par īstenotajām darbībām un darījumu apliecinošu dokumentu kopijas, ja attiecināmie izdevumi, īstenojot šo noteikumu </w:t>
      </w:r>
      <w:r w:rsidR="00000000" w:rsidRPr="00000000" w:rsidDel="00000000">
        <w:rPr>
          <w:rtl w:val="0"/>
        </w:rPr>
        <w:t xml:space="preserve">4.</w:t>
      </w:r>
      <w:r w:rsidR="00000000" w:rsidRPr="00000000" w:rsidDel="00000000">
        <w:rPr>
          <w:rtl w:val="0"/>
        </w:rPr>
        <w:t xml:space="preserve"> punktā minētās intervences, ir radušies, sākot no 2023. gada 1. janvāra.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pēc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atbalsta iesnieguma saņemšanas izvērtē pretendenta atbilstību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paredzēto intervenču sagatavošanu, īstenošanu vai uzraudzību tiek segtas personāla izmaksas saskaņā ar regulas 2022/126 23. panta 1. punktu.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paredzēto intervenču sagatavošanu, īstenošanu vai uzraudzību tiek segtas administratīvās izmaksas saskaņā ar regulas 2022/126 23. panta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Atbalsttiesīgi jeb attiecināmi ir izdevumi, kas faktiski radušies atbalsta saņēmējam, saskaņā ar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iesniegto un dienesta apstiprināto atbalsta iesniegumu un noslēgto līgumu, īstenojot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intervences atbilstoši regulas 2022/126 22. panta 3.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saņēmējs, īstenojot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w:t>
      </w:r>
      <w:r w:rsidR="00000000" w:rsidRPr="00000000" w:rsidDel="00000000">
        <w:rPr>
          <w:rtl w:val="0"/>
        </w:rPr>
        <w:t xml:space="preserve"> minētās intervences, iegādātos materiālos vai nemateriālos aktīvus izmanto atbilstoši regulas 2022/126 11. panta 1. punkta "a" apakšpunktam, un tie paliek tā īpašumā piecus gadus pēc pēdējā atbalsta maksājuma saņemšanas.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Regulas 2022/126 11. panta 9. punkta pirmajā daļā minētajos gadījumos atbalsta saņēmējs atmaksā saņemto Eiropas Savienības atbalsta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saņēmējs intervences īstenošanas laikā nekavējoties informē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tādu darbību nepieciešamību, kas nav paredzētas atbalsta iesniegumā, bet ir saistītas ar intervenču īstenošanu, kā arī par apstākļiem, kuru dēļ intervences nav iespējams īstenot. Neparedzētās darbības, īstenojot intervences, var uzsākt tikai pēc tam, kad saņemts dienesta saskaņojums;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mainījusies atbalsta saņēmēja atbilstība atbalsta saņemšanas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finansējuma piešķiršana, administrēšana un uzraudzība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dienests ir pieņēmis lēmumu par atbalsta finansējuma piešķiršanu, atbalsta pretendents slēdz līgumu ar dienestu par atbalsta finansējuma saņemšanu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attiecīgās intervences īstenošanai.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Līgumā paredz priekšapmaksas izmaksu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līguma noslēgšanas – līdz 50 procentu apmērā no līgumā paredzētās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norēķinu, kad dienestā ir iesniegts un apstiprināts atbalsta finansējuma maksājuma pieprasījums par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īstenotajām intervencēm.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Atbalsta saņēmējs finanšu gada laikā atbalsta finansējumu par katru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minēto īstenoto intervenci var saņemt pa daļām kā starpposma atbalsta maksājumu, ja katru mēnesi līdz piecpadsmitajam datumam, izmantojot dienesta elektroniskās pieteikšanās sistēmu, viņš iesniedz starpposma atbalsta maksājuma pieprasījumu. Starpposma atbalsta maksājuma pieprasījumu var iesniegt pēc atsevišķas līgumā paredzētās intervences darbības vai tās posma pabeigšanas, ja ir radusies auditējama vērtība – fiziski izmērāms darbības rezultāts, kas pamatots ar grāmatvedības dokumentiem. Darbības posmu nedrīkst noteikt īsāku par vienu kalendāra mēnesi.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saņemtu atbalsta finansējumu par kādu no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īstenotajām intervencēm, atbalsta saņēmējs līdz kārtējā gada 1. septembrim, izmantojot dienesta elektroniskās pieteikšanās sistēmu, iesniedz gala atbalsta maksājuma pieprasījumu.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minētajos atbalsta maksājuma pieprasījumos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faktiskās izmaksas atbilstoši līguma izmaksu tāmei un maksājuma pieprasījuma apliecinājumu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darījumu apliecinošu dokumentu kopijas un kredītiestādes konta izrakstu. Dienests, ja nepieciešams, ir tiesīgs pieprasīt iesniegt konta izrakstu arī par laikposmu, kas sākas ar atbalsta pieteikuma iesniegšanas dienu. Dienests ir tiesīgs pieprasīt konta izrakstu par ilgāku laikposmu;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iepirkuma procedūras dokumentus saskaņā ar normatīvajiem aktiem par iepirkuma procedūras piemērošanu, ja tāda procedūra ir organizēta saistībā ar attiecīgo līgumu, vai aprakstu par cenas izvēli;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īstenotajām darbībām un sasniegtajiem rezultatīvajiem rādītājiem.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Atbalsta saņēmējs par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intervencēm var saņemt avansa maksājumu atbilstoši regulas 2022/1408 1. panta 3.a apakšpunktam, regulas 2023/57 1. panta 1., 2. un 3. apakšpunktam un regulas 2022/127 IV nodaļai.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saņemtu avansu, atbalsta saņēmējs, izmantojot dienesta elektroniskās pieteikšanās sistēmu, iesniedz avansa iesniegumu, kurā norāda avansa apmēru atbilstoši līguma izmaksu tāmei. Avansa iesniegumu var iesniegt jebkurā laikā, bet ne biežāk kā vienu reizi finanšu gadā. Dienests gala norēķinu veic pēc tam, kad dienestā iesniegts un apstiprināts atbalsta maksājuma pieprasījums par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īstenotajām intervencēm.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pretendents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intervences var īstenot saskaņā ar faktiskajām izmaksām, ievērojot šajos noteikumos un regulas 2022/126 21. panta 1. punkta pirmajā daļā noteiktās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Katram finanšu gadam pieejamais kopējais atbalsta finansējums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īstenotajām intervencēm atbilst regulas 2021/2115 88. panta 2. punktā noteiktajam Eiropas Savienības līdzfinansējumam un valsts līdzfinansējumam, kas piešķirts atbilstoši regulas 2021/2115 55. panta 4.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Izmaksājamais atbalsta finansējuma apmērs nepārsniedz atbalsta saņēmējam līgumā noteikto apmēru finanšu gadam katrā no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intervencēm.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kopējā atbalsta finansējuma pieprasījuma summa katrai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minētajai intervencei pārsniedz piešķirto atbalsta finansējuma apmēru attiecīgajā finanšu gadā, dienests samazina piešķirto atbalsta finansējuma apmēru proporcionāli biedrības biškopju bišu saimju skaitam, kas reģistrēts valsts informācijas sistēmas "Lauksaimniecības datu centra informācijas sistēma" lauksaimniecības dzīvnieku, ganāmpulku un novietņu reģistrā pēc stāvokļa iepriekšējā gada 1. novembrī.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minētajās intervencēs pievienotās vērtības nodoklis nav piemērojams attiecināmajām izmaksām, kas radušās atbalsta saņēmējam, izņemot gadījumus, ja nodoklis nav atgūstams saskaņā ar normatīvajiem aktiem par pievienotās vērtības nodokli. Valsts ieņēmumu dienests pēc dienesta pieprasījuma sniedz informāciju par atbalsta saņēmēja darījumu atbilstību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Atbalsta saņēmējs nodrošina dienestam iespēju veikt pārbaudi vai apmeklēt to klātienē vai attālināti (neklātienē), izmantojot informācijas un komunikācijas tehnoloģijas, un pēc dienesta amatpersonu pieprasījuma uzrāda pārbaudei nepieciešamos dokumentus, kas saistīti ar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minēto intervenču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saņēmējs ir tiesīgs piedalīties pārbaudē vai dienesta apmeklējumā un iepazīties ar pārbaudes rezultātiem.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Dienests savā tīmekļvietnē publicē informāciju par katrai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minētajai intervencei piešķirto atbalsta finansējumu un atbalsta finansējuma atlikumu, ja tāds ir, un ne retāk kā reizi mēnesī atjauno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14. jūlija noteikumus Nr. 448 "Noteikumi par valsts un Eiropas Savienības atbalsta piešķiršanu biškopībai, tā administrēšanas un uzraudzības kārtību</w:t>
      </w:r>
      <w:r w:rsidR="00000000" w:rsidRPr="00000000" w:rsidDel="00000000">
        <w:rPr>
          <w:rtl w:val="0"/>
        </w:rPr>
        <w:t xml:space="preserve">" (Latvijas Vēstnesis, 2020, 136.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Dienests laikposmā no 2022. gada 1. augusta līdz 31. decembrim radušos izdevumus attiecina un maksājumus veic saskaņā ar normatīvajiem aktiem par valsts un Eiropas Savienības atbalsta piešķiršanu biškopībai, tā administrēšanas un uzraudzības kārtību, kas bija spēkā līdz šo noteikumu spēkā stāšanās dienai.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saņemtu atbalstu par pasākumiem, kas īstenoti laikposmā no 2022. gada 1. augusta līdz 31. decembrim, atbalsta saņēmējs līdz 2023. gada 20. aprīlim  dienestā iesniedz pārskatu atbilstoši </w:t>
      </w:r>
      <w:r w:rsidR="00000000" w:rsidRPr="00000000" w:rsidDel="00000000">
        <w:rPr>
          <w:rtl w:val="0"/>
        </w:rPr>
        <w:t xml:space="preserve">Ministru kabineta 2020. gada 14. jūlija noteikumiem Nr. 448 "Noteikumi par valsts un Eiropas Savienības atbalsta piešķiršanu biškopībai, tā administrēšanas un uzraudzības kārtību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 gala atbalsta maksājuma pieprasījumu par biškopības gadu laikposmā no 2024. gada 1. augusta līdz 2025. gada 31. jūlijam atbalsta saņēmējs iesniedz līdz 2025. gada 1. septembrim.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23-TA-2756</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23-TA-2756</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noteikumu_konsolidētā_versija_23-TA-2756.docx</dc:title>
</cp:coreProperties>
</file>

<file path=docProps/custom.xml><?xml version="1.0" encoding="utf-8"?>
<Properties xmlns="http://schemas.openxmlformats.org/officeDocument/2006/custom-properties" xmlns:vt="http://schemas.openxmlformats.org/officeDocument/2006/docPropsVTypes"/>
</file>