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14. februārī (prot. Nr. 6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Likuma</w:t>
      </w:r>
      <w:r w:rsidR="00000000" w:rsidRPr="00000000" w:rsidDel="00000000">
        <w:rPr>
          <w:rtl w:val="0"/>
        </w:rPr>
        <w:t xml:space="preserve"> par budžetu un finanšu vadību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9. panta</w:t>
      </w:r>
      <w:r w:rsidR="00000000" w:rsidRPr="00000000" w:rsidDel="00000000">
        <w:rPr>
          <w:rtl w:val="0"/>
        </w:rPr>
        <w:t xml:space="preserve"> piecpadsmito daļu, atbalstīt apropriācijas pārdali 2025. gadā 654 222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no Finanšu ministrijas pamatbudžeta programmas 33.00.00 "Valsts ieņēmumu un muitas politikas nodrošināšana", tajā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32 673 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uz Iekšlietu ministrijas pamatbudžeta apakšprogrammu 06.01.00 "Valsts policija";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621 549 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uz Korupcijas novēršanas un apkarošanas biroja pamatbudžeta programmu 01.00.00 "Korupcijas novēršanas un apkarošanas birojs".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un Korupcijas novēršanas un apkarošanas birojam sagatavot un normatīvajos aktos noteiktajā kārtībā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 pēc Saeimas atļaujas saņemšanas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24-TA-3013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24-TA-3013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rīkojuma_projekts_24-TA-3013.docx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